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宋体" w:hAnsi="宋体" w:eastAsia="宋体" w:cs="宋体"/>
          <w:lang w:eastAsia="zh-CN"/>
        </w:rPr>
      </w:pPr>
      <w:r>
        <w:rPr>
          <w:rFonts w:hint="eastAsia" w:ascii="宋体" w:hAnsi="宋体" w:eastAsia="宋体" w:cs="宋体"/>
          <w:lang w:eastAsia="zh-CN"/>
        </w:rPr>
        <w:t>附件</w:t>
      </w:r>
    </w:p>
    <w:p>
      <w:pPr>
        <w:pStyle w:val="2"/>
        <w:widowControl/>
        <w:pBdr>
          <w:top w:val="none" w:color="auto" w:sz="0" w:space="0"/>
          <w:left w:val="none" w:color="auto" w:sz="0" w:space="0"/>
          <w:bottom w:val="none" w:color="auto" w:sz="0" w:space="0"/>
          <w:right w:val="none" w:color="auto" w:sz="0" w:space="0"/>
        </w:pBdr>
        <w:shd w:val="clear" w:color="070000" w:fill="FFFFFF"/>
        <w:wordWrap/>
        <w:adjustRightInd/>
        <w:snapToGrid/>
        <w:spacing w:before="0" w:beforeAutospacing="0" w:after="0" w:afterAutospacing="0" w:line="240" w:lineRule="auto"/>
        <w:ind w:left="0" w:right="0" w:firstLine="0"/>
        <w:jc w:val="center"/>
        <w:textAlignment w:val="auto"/>
        <w:rPr>
          <w:rFonts w:hint="eastAsia" w:ascii="方正小标宋简体" w:hAnsi="方正小标宋简体" w:eastAsia="方正小标宋简体" w:cs="方正小标宋简体"/>
          <w:b w:val="0"/>
          <w:bCs w:val="0"/>
          <w:caps w:val="0"/>
          <w:color w:val="auto"/>
          <w:spacing w:val="0"/>
          <w:sz w:val="32"/>
          <w:szCs w:val="32"/>
        </w:rPr>
      </w:pPr>
      <w:bookmarkStart w:id="0" w:name="_GoBack"/>
      <w:r>
        <w:rPr>
          <w:rFonts w:hint="eastAsia" w:ascii="方正小标宋简体" w:hAnsi="方正小标宋简体" w:eastAsia="方正小标宋简体" w:cs="方正小标宋简体"/>
          <w:b w:val="0"/>
          <w:bCs w:val="0"/>
          <w:caps w:val="0"/>
          <w:color w:val="auto"/>
          <w:spacing w:val="0"/>
          <w:sz w:val="32"/>
          <w:szCs w:val="32"/>
          <w:shd w:val="clear" w:color="080000" w:fill="FFFFFF"/>
        </w:rPr>
        <w:t>长沙农村商业银行股份有限公司“福祥·金种子天天盈”净值型人民币理财第1期产品说明书</w:t>
      </w:r>
    </w:p>
    <w:bookmarkEnd w:id="0"/>
    <w:p>
      <w:pPr>
        <w:widowControl/>
        <w:pBdr>
          <w:top w:val="none" w:color="auto" w:sz="0" w:space="0"/>
          <w:left w:val="none" w:color="auto" w:sz="0" w:space="0"/>
          <w:bottom w:val="none" w:color="auto" w:sz="0" w:space="0"/>
          <w:right w:val="none" w:color="auto" w:sz="0" w:space="0"/>
        </w:pBdr>
        <w:shd w:val="clear" w:color="050000" w:fill="FFFFFF"/>
        <w:spacing w:before="0" w:beforeAutospacing="0" w:after="0" w:afterAutospacing="0" w:line="390" w:lineRule="atLeast"/>
        <w:ind w:left="0" w:right="0" w:firstLine="0"/>
        <w:jc w:val="left"/>
        <w:rPr>
          <w:rFonts w:hint="eastAsia" w:ascii="微软雅黑" w:hAnsi="微软雅黑" w:eastAsia="微软雅黑" w:cs="微软雅黑"/>
          <w:caps w:val="0"/>
          <w:color w:val="333333"/>
          <w:spacing w:val="0"/>
          <w:sz w:val="21"/>
          <w:szCs w:val="21"/>
        </w:rPr>
      </w:pPr>
      <w:r>
        <w:rPr>
          <w:rFonts w:hint="eastAsia" w:ascii="微软雅黑" w:hAnsi="微软雅黑" w:eastAsia="微软雅黑" w:cs="微软雅黑"/>
          <w:caps w:val="0"/>
          <w:color w:val="333333"/>
          <w:spacing w:val="0"/>
          <w:kern w:val="0"/>
          <w:sz w:val="21"/>
          <w:szCs w:val="21"/>
          <w:shd w:val="clear" w:color="070000" w:fill="FFFFFF"/>
          <w:lang w:val="en-US" w:eastAsia="zh-CN"/>
        </w:rPr>
        <w:t> </w:t>
      </w:r>
      <w:r>
        <w:rPr>
          <w:rFonts w:ascii="仿宋" w:hAnsi="仿宋" w:eastAsia="仿宋" w:cs="仿宋"/>
          <w:caps w:val="0"/>
          <w:color w:val="333333"/>
          <w:spacing w:val="0"/>
          <w:kern w:val="0"/>
          <w:sz w:val="24"/>
          <w:szCs w:val="24"/>
          <w:shd w:val="clear" w:color="070000" w:fill="FFFFFF"/>
          <w:lang w:val="en-US" w:eastAsia="zh-CN"/>
        </w:rPr>
        <w:t>尊敬的投资者：</w:t>
      </w:r>
    </w:p>
    <w:p>
      <w:pPr>
        <w:widowControl/>
        <w:pBdr>
          <w:top w:val="none" w:color="auto" w:sz="0" w:space="0"/>
          <w:left w:val="none" w:color="auto" w:sz="0" w:space="0"/>
          <w:bottom w:val="none" w:color="auto" w:sz="0" w:space="0"/>
          <w:right w:val="none" w:color="auto" w:sz="0" w:space="0"/>
        </w:pBdr>
        <w:wordWrap/>
        <w:adjustRightInd/>
        <w:snapToGrid/>
        <w:spacing w:beforeAutospacing="0" w:after="0" w:afterAutospacing="0" w:line="240" w:lineRule="auto"/>
        <w:ind w:left="0" w:right="0" w:firstLine="480"/>
        <w:jc w:val="left"/>
        <w:textAlignment w:val="baseline"/>
        <w:rPr>
          <w:rFonts w:hint="eastAsia" w:ascii="微软雅黑" w:hAnsi="微软雅黑" w:eastAsia="微软雅黑" w:cs="微软雅黑"/>
          <w:color w:val="333333"/>
          <w:sz w:val="21"/>
          <w:szCs w:val="21"/>
        </w:rPr>
      </w:pPr>
      <w:r>
        <w:rPr>
          <w:rFonts w:hint="eastAsia" w:ascii="仿宋" w:hAnsi="仿宋" w:eastAsia="仿宋" w:cs="仿宋"/>
          <w:caps w:val="0"/>
          <w:color w:val="333333"/>
          <w:spacing w:val="0"/>
          <w:kern w:val="0"/>
          <w:sz w:val="24"/>
          <w:szCs w:val="24"/>
          <w:shd w:val="clear" w:color="070000" w:fill="FFFFFF"/>
          <w:lang w:val="en-US" w:eastAsia="zh-CN"/>
        </w:rPr>
        <w:t>感谢您选择长沙农商银行人民币理财产品。根据中国银行保险监督管理委员会相关监管规定的要求，在您购买本理财产品前，请仔细阅读以下重要内容：</w:t>
      </w:r>
    </w:p>
    <w:p>
      <w:pPr>
        <w:widowControl/>
        <w:pBdr>
          <w:top w:val="none" w:color="auto" w:sz="0" w:space="0"/>
          <w:left w:val="none" w:color="auto" w:sz="0" w:space="0"/>
          <w:bottom w:val="none" w:color="auto" w:sz="0" w:space="0"/>
          <w:right w:val="none" w:color="auto" w:sz="0" w:space="0"/>
        </w:pBdr>
        <w:wordWrap/>
        <w:adjustRightInd/>
        <w:snapToGrid/>
        <w:spacing w:beforeAutospacing="0" w:after="0" w:afterAutospacing="0" w:line="240" w:lineRule="auto"/>
        <w:ind w:left="0" w:right="0" w:firstLine="482" w:firstLineChars="200"/>
        <w:jc w:val="left"/>
        <w:rPr>
          <w:rFonts w:hint="eastAsia" w:ascii="微软雅黑" w:hAnsi="微软雅黑" w:eastAsia="微软雅黑" w:cs="微软雅黑"/>
          <w:color w:val="333333"/>
          <w:sz w:val="21"/>
          <w:szCs w:val="21"/>
        </w:rPr>
      </w:pPr>
      <w:r>
        <w:rPr>
          <w:rFonts w:hint="eastAsia" w:ascii="仿宋" w:hAnsi="仿宋" w:eastAsia="仿宋" w:cs="仿宋"/>
          <w:b/>
          <w:bCs/>
          <w:caps w:val="0"/>
          <w:color w:val="333333"/>
          <w:spacing w:val="0"/>
          <w:kern w:val="0"/>
          <w:sz w:val="24"/>
          <w:szCs w:val="24"/>
          <w:shd w:val="clear" w:color="090000" w:fill="FFFFFF"/>
          <w:lang w:val="en-US" w:eastAsia="zh-CN"/>
        </w:rPr>
        <w:t>一、重要须知</w:t>
      </w:r>
    </w:p>
    <w:p>
      <w:pPr>
        <w:widowControl/>
        <w:pBdr>
          <w:top w:val="none" w:color="auto" w:sz="0" w:space="0"/>
          <w:left w:val="none" w:color="auto" w:sz="0" w:space="0"/>
          <w:bottom w:val="none" w:color="auto" w:sz="0" w:space="0"/>
          <w:right w:val="none" w:color="auto" w:sz="0" w:space="0"/>
        </w:pBdr>
        <w:wordWrap/>
        <w:adjustRightInd/>
        <w:snapToGrid/>
        <w:spacing w:beforeAutospacing="0" w:after="0" w:afterAutospacing="0" w:line="240" w:lineRule="auto"/>
        <w:ind w:left="0" w:right="0" w:firstLine="480"/>
        <w:jc w:val="left"/>
        <w:rPr>
          <w:rFonts w:hint="eastAsia" w:ascii="微软雅黑" w:hAnsi="微软雅黑" w:eastAsia="微软雅黑" w:cs="微软雅黑"/>
          <w:color w:val="333333"/>
          <w:sz w:val="21"/>
          <w:szCs w:val="21"/>
        </w:rPr>
      </w:pPr>
      <w:r>
        <w:rPr>
          <w:rFonts w:hint="eastAsia" w:ascii="仿宋" w:hAnsi="仿宋" w:eastAsia="仿宋" w:cs="仿宋"/>
          <w:caps w:val="0"/>
          <w:color w:val="333333"/>
          <w:spacing w:val="0"/>
          <w:kern w:val="0"/>
          <w:sz w:val="24"/>
          <w:szCs w:val="24"/>
          <w:shd w:val="clear" w:color="070000" w:fill="FFFFFF"/>
          <w:lang w:val="en-US" w:eastAsia="zh-CN"/>
        </w:rPr>
        <w:t>1、本理财产品说明书与《理财产品协议书》《投资协议书》《风险揭示书》《客户权益须知》共同构成完整的不可分割的理财合同。</w:t>
      </w:r>
    </w:p>
    <w:p>
      <w:pPr>
        <w:widowControl/>
        <w:pBdr>
          <w:top w:val="none" w:color="auto" w:sz="0" w:space="0"/>
          <w:left w:val="none" w:color="auto" w:sz="0" w:space="0"/>
          <w:bottom w:val="none" w:color="auto" w:sz="0" w:space="0"/>
          <w:right w:val="none" w:color="auto" w:sz="0" w:space="0"/>
        </w:pBdr>
        <w:wordWrap/>
        <w:adjustRightInd/>
        <w:snapToGrid/>
        <w:spacing w:beforeAutospacing="0" w:after="0" w:afterAutospacing="0" w:line="240" w:lineRule="auto"/>
        <w:ind w:left="0" w:right="0" w:firstLine="480"/>
        <w:jc w:val="left"/>
        <w:rPr>
          <w:rFonts w:hint="eastAsia" w:ascii="微软雅黑" w:hAnsi="微软雅黑" w:eastAsia="微软雅黑" w:cs="微软雅黑"/>
          <w:color w:val="333333"/>
          <w:sz w:val="21"/>
          <w:szCs w:val="21"/>
        </w:rPr>
      </w:pPr>
      <w:r>
        <w:rPr>
          <w:rFonts w:hint="eastAsia" w:ascii="仿宋" w:hAnsi="仿宋" w:eastAsia="仿宋" w:cs="仿宋"/>
          <w:caps w:val="0"/>
          <w:color w:val="333333"/>
          <w:spacing w:val="0"/>
          <w:kern w:val="0"/>
          <w:sz w:val="24"/>
          <w:szCs w:val="24"/>
          <w:shd w:val="clear" w:color="070000" w:fill="FFFFFF"/>
          <w:lang w:val="en-US" w:eastAsia="zh-CN"/>
        </w:rPr>
        <w:t>2、本理财产品仅向依据中华人民共和国有关法律法规及本产品说明书规定可以购买本理财产品的投资者发售。</w:t>
      </w:r>
    </w:p>
    <w:p>
      <w:pPr>
        <w:widowControl/>
        <w:pBdr>
          <w:top w:val="none" w:color="auto" w:sz="0" w:space="0"/>
          <w:left w:val="none" w:color="auto" w:sz="0" w:space="0"/>
          <w:bottom w:val="none" w:color="auto" w:sz="0" w:space="0"/>
          <w:right w:val="none" w:color="auto" w:sz="0" w:space="0"/>
        </w:pBdr>
        <w:wordWrap/>
        <w:adjustRightInd/>
        <w:snapToGrid/>
        <w:spacing w:beforeAutospacing="0" w:after="0" w:afterAutospacing="0" w:line="240" w:lineRule="auto"/>
        <w:ind w:left="0" w:right="0" w:firstLine="480"/>
        <w:jc w:val="left"/>
        <w:rPr>
          <w:rFonts w:hint="eastAsia" w:ascii="微软雅黑" w:hAnsi="微软雅黑" w:eastAsia="微软雅黑" w:cs="微软雅黑"/>
          <w:color w:val="333333"/>
          <w:sz w:val="21"/>
          <w:szCs w:val="21"/>
        </w:rPr>
      </w:pPr>
      <w:r>
        <w:rPr>
          <w:rFonts w:hint="eastAsia" w:ascii="仿宋" w:hAnsi="仿宋" w:eastAsia="仿宋" w:cs="仿宋"/>
          <w:caps w:val="0"/>
          <w:color w:val="333333"/>
          <w:spacing w:val="0"/>
          <w:kern w:val="0"/>
          <w:sz w:val="24"/>
          <w:szCs w:val="24"/>
          <w:shd w:val="clear" w:color="070000" w:fill="FFFFFF"/>
          <w:lang w:val="en-US" w:eastAsia="zh-CN"/>
        </w:rPr>
        <w:t>3、本理财产品不等同于银行存款。</w:t>
      </w:r>
    </w:p>
    <w:p>
      <w:pPr>
        <w:widowControl/>
        <w:pBdr>
          <w:top w:val="none" w:color="auto" w:sz="0" w:space="0"/>
          <w:left w:val="none" w:color="auto" w:sz="0" w:space="0"/>
          <w:bottom w:val="none" w:color="auto" w:sz="0" w:space="0"/>
          <w:right w:val="none" w:color="auto" w:sz="0" w:space="0"/>
        </w:pBdr>
        <w:wordWrap/>
        <w:adjustRightInd/>
        <w:snapToGrid/>
        <w:spacing w:beforeAutospacing="0" w:after="0" w:afterAutospacing="0" w:line="240" w:lineRule="auto"/>
        <w:ind w:left="0" w:right="0" w:firstLine="480"/>
        <w:jc w:val="left"/>
        <w:rPr>
          <w:rFonts w:hint="eastAsia" w:ascii="微软雅黑" w:hAnsi="微软雅黑" w:eastAsia="微软雅黑" w:cs="微软雅黑"/>
          <w:color w:val="333333"/>
          <w:sz w:val="21"/>
          <w:szCs w:val="21"/>
        </w:rPr>
      </w:pPr>
      <w:r>
        <w:rPr>
          <w:rFonts w:hint="eastAsia" w:ascii="仿宋" w:hAnsi="仿宋" w:eastAsia="仿宋" w:cs="仿宋"/>
          <w:caps w:val="0"/>
          <w:color w:val="333333"/>
          <w:spacing w:val="0"/>
          <w:kern w:val="0"/>
          <w:sz w:val="24"/>
          <w:szCs w:val="24"/>
          <w:shd w:val="clear" w:color="070000" w:fill="FFFFFF"/>
          <w:lang w:val="en-US" w:eastAsia="zh-CN"/>
        </w:rPr>
        <w:t>4、在购买本理财产品前，请投资者确保完全明白本理财产品的性质、资金投资方向、涉及的风险以及投资者的自身情况。请投资者独立、自主、谨慎做出投资决策，购买与自身风险承受能力和资产管理需求匹配的理财产品。投资者若对本产品说明书的内容有任何疑问，请向长沙农商银行各营业网点咨询（咨询方式含柜面、电话等）。</w:t>
      </w:r>
    </w:p>
    <w:p>
      <w:pPr>
        <w:widowControl/>
        <w:pBdr>
          <w:top w:val="none" w:color="auto" w:sz="0" w:space="0"/>
          <w:left w:val="none" w:color="auto" w:sz="0" w:space="0"/>
          <w:bottom w:val="none" w:color="auto" w:sz="0" w:space="0"/>
          <w:right w:val="none" w:color="auto" w:sz="0" w:space="0"/>
        </w:pBdr>
        <w:wordWrap/>
        <w:adjustRightInd/>
        <w:snapToGrid/>
        <w:spacing w:beforeAutospacing="0" w:after="0" w:afterAutospacing="0" w:line="240" w:lineRule="auto"/>
        <w:ind w:left="0" w:right="0" w:firstLine="480"/>
        <w:jc w:val="left"/>
        <w:rPr>
          <w:rFonts w:hint="eastAsia" w:ascii="微软雅黑" w:hAnsi="微软雅黑" w:eastAsia="微软雅黑" w:cs="微软雅黑"/>
          <w:color w:val="333333"/>
          <w:sz w:val="21"/>
          <w:szCs w:val="21"/>
        </w:rPr>
      </w:pPr>
      <w:r>
        <w:rPr>
          <w:rFonts w:hint="eastAsia" w:ascii="仿宋" w:hAnsi="仿宋" w:eastAsia="仿宋" w:cs="仿宋"/>
          <w:caps w:val="0"/>
          <w:color w:val="333333"/>
          <w:spacing w:val="0"/>
          <w:kern w:val="0"/>
          <w:sz w:val="24"/>
          <w:szCs w:val="24"/>
          <w:shd w:val="clear" w:color="070000" w:fill="FFFFFF"/>
          <w:lang w:val="en-US" w:eastAsia="zh-CN"/>
        </w:rPr>
        <w:t> </w:t>
      </w:r>
      <w:r>
        <w:rPr>
          <w:rFonts w:hint="eastAsia" w:ascii="仿宋" w:hAnsi="仿宋" w:eastAsia="仿宋" w:cs="仿宋"/>
          <w:b/>
          <w:bCs/>
          <w:caps w:val="0"/>
          <w:color w:val="333333"/>
          <w:spacing w:val="0"/>
          <w:kern w:val="0"/>
          <w:sz w:val="24"/>
          <w:szCs w:val="24"/>
          <w:u w:val="single"/>
          <w:shd w:val="clear" w:color="0A0000" w:fill="FFFFFF"/>
          <w:lang w:val="en-US" w:eastAsia="zh-CN"/>
        </w:rPr>
        <w:t>5、除本产品说明书中明确规定的收益及收益分配方式外，任何业绩比较基准、测算收益或类似表述均属不具有法律约束力的用语，不代表投资者可能获得的实际收益，亦不构成长沙农商银行对本理财产品的任何收益承诺。</w:t>
      </w:r>
    </w:p>
    <w:p>
      <w:pPr>
        <w:widowControl/>
        <w:pBdr>
          <w:top w:val="none" w:color="auto" w:sz="0" w:space="0"/>
          <w:left w:val="none" w:color="auto" w:sz="0" w:space="0"/>
          <w:bottom w:val="none" w:color="auto" w:sz="0" w:space="0"/>
          <w:right w:val="none" w:color="auto" w:sz="0" w:space="0"/>
        </w:pBdr>
        <w:wordWrap/>
        <w:adjustRightInd/>
        <w:snapToGrid/>
        <w:spacing w:beforeAutospacing="0" w:after="0" w:afterAutospacing="0" w:line="240" w:lineRule="auto"/>
        <w:ind w:left="0" w:right="0" w:firstLine="480"/>
        <w:jc w:val="left"/>
        <w:rPr>
          <w:rFonts w:hint="eastAsia" w:ascii="微软雅黑" w:hAnsi="微软雅黑" w:eastAsia="微软雅黑" w:cs="微软雅黑"/>
          <w:color w:val="333333"/>
          <w:sz w:val="21"/>
          <w:szCs w:val="21"/>
        </w:rPr>
      </w:pPr>
      <w:r>
        <w:rPr>
          <w:rFonts w:hint="eastAsia" w:ascii="仿宋" w:hAnsi="仿宋" w:eastAsia="仿宋" w:cs="仿宋"/>
          <w:caps w:val="0"/>
          <w:color w:val="333333"/>
          <w:spacing w:val="0"/>
          <w:kern w:val="0"/>
          <w:sz w:val="24"/>
          <w:szCs w:val="24"/>
          <w:shd w:val="clear" w:color="070000" w:fill="FFFFFF"/>
          <w:lang w:val="en-US" w:eastAsia="zh-CN"/>
        </w:rPr>
        <w:t>6、本理财产品只根据本产品说明书所载的资料操作。</w:t>
      </w:r>
    </w:p>
    <w:p>
      <w:pPr>
        <w:widowControl/>
        <w:pBdr>
          <w:top w:val="none" w:color="auto" w:sz="0" w:space="0"/>
          <w:left w:val="none" w:color="auto" w:sz="0" w:space="0"/>
          <w:bottom w:val="none" w:color="auto" w:sz="0" w:space="0"/>
          <w:right w:val="none" w:color="auto" w:sz="0" w:space="0"/>
        </w:pBdr>
        <w:wordWrap/>
        <w:adjustRightInd/>
        <w:snapToGrid/>
        <w:spacing w:beforeAutospacing="0" w:after="0" w:afterAutospacing="0" w:line="240" w:lineRule="auto"/>
        <w:ind w:left="0" w:right="0" w:firstLine="482"/>
        <w:jc w:val="left"/>
        <w:rPr>
          <w:rFonts w:hint="eastAsia" w:ascii="微软雅黑" w:hAnsi="微软雅黑" w:eastAsia="微软雅黑" w:cs="微软雅黑"/>
          <w:color w:val="333333"/>
          <w:sz w:val="21"/>
          <w:szCs w:val="21"/>
        </w:rPr>
      </w:pPr>
      <w:r>
        <w:rPr>
          <w:rFonts w:hint="eastAsia" w:ascii="仿宋" w:hAnsi="仿宋" w:eastAsia="仿宋" w:cs="仿宋"/>
          <w:b/>
          <w:bCs/>
          <w:caps w:val="0"/>
          <w:color w:val="333333"/>
          <w:spacing w:val="0"/>
          <w:kern w:val="0"/>
          <w:sz w:val="24"/>
          <w:szCs w:val="24"/>
          <w:u w:val="single"/>
          <w:shd w:val="clear" w:color="0A0000" w:fill="FFFFFF"/>
          <w:lang w:val="en-US" w:eastAsia="zh-CN"/>
        </w:rPr>
        <w:t>7、本理财产品为非保本浮动收益型产品，您的本金可能会因市场变动而蒙受重大损失，您应充分认识投资风险，谨慎投资。</w:t>
      </w:r>
    </w:p>
    <w:p>
      <w:pPr>
        <w:widowControl/>
        <w:pBdr>
          <w:top w:val="none" w:color="auto" w:sz="0" w:space="0"/>
          <w:left w:val="none" w:color="auto" w:sz="0" w:space="0"/>
          <w:bottom w:val="none" w:color="auto" w:sz="0" w:space="0"/>
          <w:right w:val="none" w:color="auto" w:sz="0" w:space="0"/>
        </w:pBdr>
        <w:wordWrap/>
        <w:adjustRightInd/>
        <w:snapToGrid/>
        <w:spacing w:beforeAutospacing="0" w:after="0" w:afterAutospacing="0" w:line="240" w:lineRule="auto"/>
        <w:ind w:left="0" w:right="0" w:firstLine="480"/>
        <w:jc w:val="left"/>
        <w:rPr>
          <w:rFonts w:hint="eastAsia" w:ascii="微软雅黑" w:hAnsi="微软雅黑" w:eastAsia="微软雅黑" w:cs="微软雅黑"/>
          <w:color w:val="333333"/>
          <w:sz w:val="21"/>
          <w:szCs w:val="21"/>
        </w:rPr>
      </w:pPr>
      <w:r>
        <w:rPr>
          <w:rFonts w:hint="eastAsia" w:ascii="仿宋" w:hAnsi="仿宋" w:eastAsia="仿宋" w:cs="仿宋"/>
          <w:caps w:val="0"/>
          <w:color w:val="333333"/>
          <w:spacing w:val="0"/>
          <w:kern w:val="0"/>
          <w:sz w:val="24"/>
          <w:szCs w:val="24"/>
          <w:shd w:val="clear" w:color="070000" w:fill="FFFFFF"/>
          <w:lang w:val="en-US" w:eastAsia="zh-CN"/>
        </w:rPr>
        <w:t>8、由于投资资信息登记需要，投资者在与本行签订理财产品协议时，本行仅获取投资者授权的金融信息，包括身份证件信息、账户信息等，同时本行将严格保护投资者相关金融信息，确保信息安全，防止投资者信息泄露和滥用，但为理财产品登记需要，向登记部门或监管机构提供客户相关信息除外。</w:t>
      </w:r>
    </w:p>
    <w:p>
      <w:pPr>
        <w:widowControl/>
        <w:pBdr>
          <w:top w:val="none" w:color="auto" w:sz="0" w:space="0"/>
          <w:left w:val="none" w:color="auto" w:sz="0" w:space="0"/>
          <w:bottom w:val="none" w:color="auto" w:sz="0" w:space="0"/>
          <w:right w:val="none" w:color="auto" w:sz="0" w:space="0"/>
        </w:pBdr>
        <w:wordWrap/>
        <w:adjustRightInd/>
        <w:snapToGrid/>
        <w:spacing w:beforeAutospacing="0" w:after="0" w:afterAutospacing="0" w:line="240" w:lineRule="auto"/>
        <w:ind w:left="0" w:right="0" w:firstLine="480"/>
        <w:jc w:val="left"/>
        <w:rPr>
          <w:rFonts w:hint="eastAsia" w:ascii="微软雅黑" w:hAnsi="微软雅黑" w:eastAsia="微软雅黑" w:cs="微软雅黑"/>
          <w:color w:val="333333"/>
          <w:sz w:val="21"/>
          <w:szCs w:val="21"/>
        </w:rPr>
      </w:pPr>
      <w:r>
        <w:rPr>
          <w:rFonts w:hint="eastAsia" w:ascii="仿宋" w:hAnsi="仿宋" w:eastAsia="仿宋" w:cs="仿宋"/>
          <w:caps w:val="0"/>
          <w:color w:val="333333"/>
          <w:spacing w:val="0"/>
          <w:kern w:val="0"/>
          <w:sz w:val="24"/>
          <w:szCs w:val="24"/>
          <w:shd w:val="clear" w:color="070000" w:fill="FFFFFF"/>
          <w:lang w:val="en-US" w:eastAsia="zh-CN"/>
        </w:rPr>
        <w:t>9、在购买理财产品后，请投资者及时关注该理财产品的信息披露情况，及时获取相关信息。</w:t>
      </w:r>
    </w:p>
    <w:p>
      <w:pPr>
        <w:widowControl/>
        <w:pBdr>
          <w:top w:val="none" w:color="auto" w:sz="0" w:space="0"/>
          <w:left w:val="none" w:color="auto" w:sz="0" w:space="0"/>
          <w:bottom w:val="none" w:color="auto" w:sz="0" w:space="0"/>
          <w:right w:val="none" w:color="auto" w:sz="0" w:space="0"/>
        </w:pBdr>
        <w:wordWrap/>
        <w:adjustRightInd/>
        <w:snapToGrid/>
        <w:spacing w:beforeAutospacing="0" w:after="0" w:afterAutospacing="0" w:line="240" w:lineRule="auto"/>
        <w:ind w:left="0" w:right="0" w:firstLine="482"/>
        <w:jc w:val="left"/>
        <w:rPr>
          <w:rFonts w:hint="eastAsia" w:ascii="微软雅黑" w:hAnsi="微软雅黑" w:eastAsia="微软雅黑" w:cs="微软雅黑"/>
          <w:color w:val="333333"/>
          <w:sz w:val="21"/>
          <w:szCs w:val="21"/>
        </w:rPr>
      </w:pPr>
      <w:r>
        <w:rPr>
          <w:rFonts w:hint="eastAsia" w:ascii="仿宋" w:hAnsi="仿宋" w:eastAsia="仿宋" w:cs="仿宋"/>
          <w:b/>
          <w:bCs/>
          <w:caps w:val="0"/>
          <w:color w:val="333333"/>
          <w:spacing w:val="0"/>
          <w:kern w:val="0"/>
          <w:sz w:val="24"/>
          <w:szCs w:val="24"/>
          <w:u w:val="single"/>
          <w:shd w:val="clear" w:color="0A0000" w:fill="FFFFFF"/>
          <w:lang w:val="en-US" w:eastAsia="zh-CN"/>
        </w:rPr>
        <w:t>10、长沙农商银行有权依法对本产品说明书进行解释。在本产品存续期内，如因国家法律法规、监管规定发生变化，或是出于维持本产品正常运营的需要，在不损害投资者利益的前提下，长沙农商银行有权单方对本产品说明书进行修订。长沙农商银行决定对产品说明书进行修订的，将提前3个工作日在本行网站（www.crcbbank.com）上以公告的方式通知投资者。</w:t>
      </w:r>
    </w:p>
    <w:p>
      <w:pPr>
        <w:widowControl/>
        <w:pBdr>
          <w:top w:val="none" w:color="auto" w:sz="0" w:space="0"/>
          <w:left w:val="none" w:color="auto" w:sz="0" w:space="0"/>
          <w:bottom w:val="none" w:color="auto" w:sz="0" w:space="0"/>
          <w:right w:val="none" w:color="auto" w:sz="0" w:space="0"/>
        </w:pBdr>
        <w:wordWrap/>
        <w:adjustRightInd/>
        <w:snapToGrid/>
        <w:spacing w:beforeAutospacing="0" w:after="0" w:afterAutospacing="0" w:line="240" w:lineRule="auto"/>
        <w:ind w:left="0" w:right="0" w:firstLine="480"/>
        <w:jc w:val="left"/>
        <w:rPr>
          <w:rFonts w:hint="eastAsia" w:ascii="微软雅黑" w:hAnsi="微软雅黑" w:eastAsia="微软雅黑" w:cs="微软雅黑"/>
          <w:color w:val="333333"/>
          <w:sz w:val="21"/>
          <w:szCs w:val="21"/>
        </w:rPr>
      </w:pPr>
      <w:r>
        <w:rPr>
          <w:rFonts w:hint="eastAsia" w:ascii="仿宋" w:hAnsi="仿宋" w:eastAsia="仿宋" w:cs="仿宋"/>
          <w:caps w:val="0"/>
          <w:color w:val="333333"/>
          <w:spacing w:val="0"/>
          <w:kern w:val="0"/>
          <w:sz w:val="24"/>
          <w:szCs w:val="24"/>
          <w:shd w:val="clear" w:color="070000" w:fill="FFFFFF"/>
          <w:lang w:val="en-US" w:eastAsia="zh-CN"/>
        </w:rPr>
        <w:t>11、本产品在“全国银行业理财信息登记系统”的登记编码详见“理财产品基本要素”中“理财登记系统编码”栏，投资者可依据该登记编码在“中国理财网（www.chinawealth.com.cn）”查询该产品信息。</w:t>
      </w:r>
    </w:p>
    <w:p>
      <w:pPr>
        <w:widowControl/>
        <w:pBdr>
          <w:top w:val="none" w:color="auto" w:sz="0" w:space="0"/>
          <w:left w:val="none" w:color="auto" w:sz="0" w:space="0"/>
          <w:bottom w:val="none" w:color="auto" w:sz="0" w:space="0"/>
          <w:right w:val="none" w:color="auto" w:sz="0" w:space="0"/>
        </w:pBdr>
        <w:wordWrap/>
        <w:adjustRightInd/>
        <w:snapToGrid/>
        <w:spacing w:beforeAutospacing="0" w:after="0" w:afterAutospacing="0" w:line="240" w:lineRule="auto"/>
        <w:ind w:left="0" w:right="0" w:firstLine="482" w:firstLineChars="200"/>
        <w:jc w:val="left"/>
        <w:rPr>
          <w:rFonts w:hint="eastAsia" w:ascii="微软雅黑" w:hAnsi="微软雅黑" w:eastAsia="微软雅黑" w:cs="微软雅黑"/>
          <w:color w:val="333333"/>
          <w:sz w:val="21"/>
          <w:szCs w:val="21"/>
        </w:rPr>
      </w:pPr>
      <w:r>
        <w:rPr>
          <w:rFonts w:hint="eastAsia" w:ascii="仿宋" w:hAnsi="仿宋" w:eastAsia="仿宋" w:cs="仿宋"/>
          <w:b/>
          <w:bCs/>
          <w:caps w:val="0"/>
          <w:color w:val="333333"/>
          <w:spacing w:val="0"/>
          <w:kern w:val="0"/>
          <w:sz w:val="24"/>
          <w:szCs w:val="24"/>
          <w:shd w:val="clear" w:color="090000" w:fill="FFFFFF"/>
          <w:lang w:val="en-US" w:eastAsia="zh-CN"/>
        </w:rPr>
        <w:t>二、理财产品基本要素</w:t>
      </w:r>
    </w:p>
    <w:tbl>
      <w:tblPr>
        <w:tblStyle w:val="8"/>
        <w:tblW w:w="8895"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15" w:type="dxa"/>
          <w:left w:w="15" w:type="dxa"/>
          <w:bottom w:w="15" w:type="dxa"/>
          <w:right w:w="15" w:type="dxa"/>
        </w:tblCellMar>
      </w:tblPr>
      <w:tblGrid>
        <w:gridCol w:w="2250"/>
        <w:gridCol w:w="6645"/>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293" w:hRule="atLeast"/>
          <w:jc w:val="center"/>
        </w:trPr>
        <w:tc>
          <w:tcPr>
            <w:tcW w:w="2250" w:type="dxa"/>
            <w:tcBorders>
              <w:top w:val="single" w:color="auto" w:sz="8" w:space="0"/>
              <w:left w:val="single" w:color="auto" w:sz="8" w:space="0"/>
              <w:bottom w:val="single" w:color="auto" w:sz="8" w:space="0"/>
              <w:right w:val="single" w:color="auto" w:sz="8" w:space="0"/>
            </w:tcBorders>
            <w:tcMar>
              <w:top w:w="45" w:type="dxa"/>
              <w:left w:w="45" w:type="dxa"/>
              <w:bottom w:w="45" w:type="dxa"/>
              <w:right w:w="45" w:type="dxa"/>
            </w:tcMar>
            <w:vAlign w:val="top"/>
          </w:tcPr>
          <w:p>
            <w:pPr>
              <w:widowControl/>
              <w:pBdr>
                <w:top w:val="none" w:color="auto" w:sz="0" w:space="0"/>
                <w:left w:val="none" w:color="auto" w:sz="0" w:space="0"/>
                <w:bottom w:val="none" w:color="auto" w:sz="0" w:space="0"/>
                <w:right w:val="none" w:color="auto" w:sz="0" w:space="0"/>
              </w:pBdr>
              <w:wordWrap/>
              <w:adjustRightInd/>
              <w:snapToGrid/>
              <w:spacing w:beforeAutospacing="0" w:after="0" w:afterAutospacing="0" w:line="240" w:lineRule="auto"/>
              <w:ind w:left="0" w:right="0"/>
              <w:jc w:val="left"/>
              <w:rPr>
                <w:rFonts w:hint="eastAsia" w:ascii="微软雅黑" w:hAnsi="微软雅黑" w:eastAsia="微软雅黑" w:cs="微软雅黑"/>
                <w:color w:val="333333"/>
                <w:sz w:val="21"/>
                <w:szCs w:val="21"/>
              </w:rPr>
            </w:pPr>
            <w:r>
              <w:rPr>
                <w:rFonts w:hint="eastAsia" w:ascii="仿宋" w:hAnsi="仿宋" w:eastAsia="仿宋" w:cs="仿宋"/>
                <w:b/>
                <w:bCs/>
                <w:color w:val="333333"/>
                <w:kern w:val="0"/>
                <w:sz w:val="24"/>
                <w:szCs w:val="24"/>
                <w:lang w:val="en-US" w:eastAsia="zh-CN"/>
              </w:rPr>
              <w:t>产品名称</w:t>
            </w:r>
          </w:p>
        </w:tc>
        <w:tc>
          <w:tcPr>
            <w:tcW w:w="6645" w:type="dxa"/>
            <w:tcBorders>
              <w:top w:val="single" w:color="auto" w:sz="8" w:space="0"/>
              <w:left w:val="single" w:color="auto" w:sz="8" w:space="0"/>
              <w:bottom w:val="single" w:color="auto" w:sz="8" w:space="0"/>
              <w:right w:val="single" w:color="auto" w:sz="8" w:space="0"/>
            </w:tcBorders>
            <w:tcMar>
              <w:top w:w="45" w:type="dxa"/>
              <w:left w:w="45" w:type="dxa"/>
              <w:bottom w:w="45" w:type="dxa"/>
              <w:right w:w="45" w:type="dxa"/>
            </w:tcMar>
            <w:vAlign w:val="center"/>
          </w:tcPr>
          <w:p>
            <w:pPr>
              <w:widowControl/>
              <w:pBdr>
                <w:top w:val="none" w:color="auto" w:sz="0" w:space="0"/>
                <w:left w:val="none" w:color="auto" w:sz="0" w:space="0"/>
                <w:bottom w:val="none" w:color="auto" w:sz="0" w:space="0"/>
                <w:right w:val="none" w:color="auto" w:sz="0" w:space="0"/>
              </w:pBdr>
              <w:wordWrap/>
              <w:adjustRightInd/>
              <w:snapToGrid/>
              <w:spacing w:beforeAutospacing="0" w:after="0" w:afterAutospacing="0" w:line="240" w:lineRule="auto"/>
              <w:ind w:left="0" w:right="0"/>
              <w:jc w:val="left"/>
              <w:rPr>
                <w:rFonts w:hint="eastAsia" w:ascii="微软雅黑" w:hAnsi="微软雅黑" w:eastAsia="微软雅黑" w:cs="微软雅黑"/>
                <w:color w:val="333333"/>
                <w:sz w:val="24"/>
                <w:szCs w:val="24"/>
              </w:rPr>
            </w:pPr>
            <w:r>
              <w:rPr>
                <w:rFonts w:hint="eastAsia" w:ascii="仿宋" w:hAnsi="仿宋" w:eastAsia="仿宋" w:cs="仿宋"/>
                <w:color w:val="333333"/>
                <w:kern w:val="0"/>
                <w:sz w:val="24"/>
                <w:szCs w:val="24"/>
                <w:lang w:val="en-US" w:eastAsia="zh-CN"/>
              </w:rPr>
              <w:t>长沙农商银行“福祥·金种子天天盈”净值型人民币理财产品第1期</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293" w:hRule="atLeast"/>
          <w:jc w:val="center"/>
        </w:trPr>
        <w:tc>
          <w:tcPr>
            <w:tcW w:w="2250" w:type="dxa"/>
            <w:tcBorders>
              <w:top w:val="nil"/>
              <w:left w:val="single" w:color="auto" w:sz="8" w:space="0"/>
              <w:bottom w:val="single" w:color="auto" w:sz="8" w:space="0"/>
              <w:right w:val="single" w:color="auto" w:sz="8" w:space="0"/>
            </w:tcBorders>
            <w:tcMar>
              <w:top w:w="45" w:type="dxa"/>
              <w:left w:w="45" w:type="dxa"/>
              <w:bottom w:w="45" w:type="dxa"/>
              <w:right w:w="45" w:type="dxa"/>
            </w:tcMar>
            <w:vAlign w:val="top"/>
          </w:tcPr>
          <w:p>
            <w:pPr>
              <w:widowControl/>
              <w:pBdr>
                <w:top w:val="none" w:color="auto" w:sz="0" w:space="0"/>
                <w:left w:val="none" w:color="auto" w:sz="0" w:space="0"/>
                <w:bottom w:val="none" w:color="auto" w:sz="0" w:space="0"/>
                <w:right w:val="none" w:color="auto" w:sz="0" w:space="0"/>
              </w:pBdr>
              <w:wordWrap/>
              <w:adjustRightInd/>
              <w:snapToGrid/>
              <w:spacing w:beforeAutospacing="0" w:after="0" w:afterAutospacing="0" w:line="240" w:lineRule="auto"/>
              <w:ind w:left="0" w:right="0"/>
              <w:jc w:val="left"/>
              <w:rPr>
                <w:rFonts w:hint="eastAsia" w:ascii="微软雅黑" w:hAnsi="微软雅黑" w:eastAsia="微软雅黑" w:cs="微软雅黑"/>
                <w:color w:val="333333"/>
                <w:sz w:val="21"/>
                <w:szCs w:val="21"/>
              </w:rPr>
            </w:pPr>
            <w:r>
              <w:rPr>
                <w:rFonts w:hint="eastAsia" w:ascii="仿宋" w:hAnsi="仿宋" w:eastAsia="仿宋" w:cs="仿宋"/>
                <w:b/>
                <w:bCs/>
                <w:color w:val="333333"/>
                <w:kern w:val="0"/>
                <w:sz w:val="24"/>
                <w:szCs w:val="24"/>
                <w:lang w:val="en-US" w:eastAsia="zh-CN"/>
              </w:rPr>
              <w:t>产品代码</w:t>
            </w:r>
          </w:p>
        </w:tc>
        <w:tc>
          <w:tcPr>
            <w:tcW w:w="6645" w:type="dxa"/>
            <w:tcBorders>
              <w:top w:val="nil"/>
              <w:left w:val="single" w:color="auto" w:sz="8" w:space="0"/>
              <w:bottom w:val="single" w:color="auto" w:sz="8" w:space="0"/>
              <w:right w:val="single" w:color="auto" w:sz="8" w:space="0"/>
            </w:tcBorders>
            <w:tcMar>
              <w:top w:w="45" w:type="dxa"/>
              <w:left w:w="45" w:type="dxa"/>
              <w:bottom w:w="45" w:type="dxa"/>
              <w:right w:w="45" w:type="dxa"/>
            </w:tcMar>
            <w:vAlign w:val="top"/>
          </w:tcPr>
          <w:p>
            <w:pPr>
              <w:widowControl/>
              <w:pBdr>
                <w:top w:val="none" w:color="auto" w:sz="0" w:space="0"/>
                <w:left w:val="none" w:color="auto" w:sz="0" w:space="0"/>
                <w:bottom w:val="none" w:color="auto" w:sz="0" w:space="0"/>
                <w:right w:val="none" w:color="auto" w:sz="0" w:space="0"/>
              </w:pBdr>
              <w:wordWrap/>
              <w:adjustRightInd/>
              <w:snapToGrid/>
              <w:spacing w:beforeAutospacing="0" w:after="0" w:afterAutospacing="0" w:line="240" w:lineRule="auto"/>
              <w:ind w:left="0" w:right="0"/>
              <w:jc w:val="left"/>
              <w:rPr>
                <w:rFonts w:hint="eastAsia" w:ascii="微软雅黑" w:hAnsi="微软雅黑" w:eastAsia="微软雅黑" w:cs="微软雅黑"/>
                <w:color w:val="333333"/>
                <w:sz w:val="24"/>
                <w:szCs w:val="24"/>
              </w:rPr>
            </w:pPr>
            <w:r>
              <w:rPr>
                <w:rFonts w:hint="eastAsia" w:ascii="仿宋" w:hAnsi="仿宋" w:eastAsia="仿宋" w:cs="仿宋"/>
                <w:color w:val="333333"/>
                <w:kern w:val="0"/>
                <w:sz w:val="24"/>
                <w:szCs w:val="24"/>
                <w:lang w:val="en-US" w:eastAsia="zh-CN"/>
              </w:rPr>
              <w:t>19001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670" w:hRule="atLeast"/>
          <w:jc w:val="center"/>
        </w:trPr>
        <w:tc>
          <w:tcPr>
            <w:tcW w:w="2250" w:type="dxa"/>
            <w:tcBorders>
              <w:top w:val="nil"/>
              <w:left w:val="single" w:color="auto" w:sz="8" w:space="0"/>
              <w:bottom w:val="single" w:color="auto" w:sz="8" w:space="0"/>
              <w:right w:val="single" w:color="auto" w:sz="8" w:space="0"/>
            </w:tcBorders>
            <w:tcMar>
              <w:top w:w="45" w:type="dxa"/>
              <w:left w:w="45" w:type="dxa"/>
              <w:bottom w:w="45" w:type="dxa"/>
              <w:right w:w="45" w:type="dxa"/>
            </w:tcMar>
            <w:vAlign w:val="top"/>
          </w:tcPr>
          <w:p>
            <w:pPr>
              <w:widowControl/>
              <w:pBdr>
                <w:top w:val="none" w:color="auto" w:sz="0" w:space="0"/>
                <w:left w:val="none" w:color="auto" w:sz="0" w:space="0"/>
                <w:bottom w:val="none" w:color="auto" w:sz="0" w:space="0"/>
                <w:right w:val="none" w:color="auto" w:sz="0" w:space="0"/>
              </w:pBdr>
              <w:wordWrap/>
              <w:adjustRightInd/>
              <w:snapToGrid/>
              <w:spacing w:beforeAutospacing="0" w:after="0" w:afterAutospacing="0" w:line="240" w:lineRule="auto"/>
              <w:ind w:left="0" w:right="0"/>
              <w:jc w:val="left"/>
              <w:rPr>
                <w:rFonts w:hint="eastAsia" w:ascii="微软雅黑" w:hAnsi="微软雅黑" w:eastAsia="微软雅黑" w:cs="微软雅黑"/>
                <w:color w:val="333333"/>
                <w:sz w:val="21"/>
                <w:szCs w:val="21"/>
              </w:rPr>
            </w:pPr>
            <w:r>
              <w:rPr>
                <w:rFonts w:hint="eastAsia" w:ascii="仿宋" w:hAnsi="仿宋" w:eastAsia="仿宋" w:cs="仿宋"/>
                <w:b/>
                <w:bCs/>
                <w:color w:val="333333"/>
                <w:kern w:val="0"/>
                <w:sz w:val="24"/>
                <w:szCs w:val="24"/>
                <w:lang w:val="en-US" w:eastAsia="zh-CN"/>
              </w:rPr>
              <w:t>理财登记系统编码</w:t>
            </w:r>
          </w:p>
        </w:tc>
        <w:tc>
          <w:tcPr>
            <w:tcW w:w="6645" w:type="dxa"/>
            <w:tcBorders>
              <w:top w:val="nil"/>
              <w:left w:val="single" w:color="auto" w:sz="8" w:space="0"/>
              <w:bottom w:val="single" w:color="auto" w:sz="8" w:space="0"/>
              <w:right w:val="single" w:color="auto" w:sz="8" w:space="0"/>
            </w:tcBorders>
            <w:tcMar>
              <w:top w:w="45" w:type="dxa"/>
              <w:left w:w="45" w:type="dxa"/>
              <w:bottom w:w="45" w:type="dxa"/>
              <w:right w:w="45" w:type="dxa"/>
            </w:tcMar>
            <w:vAlign w:val="top"/>
          </w:tcPr>
          <w:p>
            <w:pPr>
              <w:widowControl/>
              <w:pBdr>
                <w:top w:val="none" w:color="auto" w:sz="0" w:space="0"/>
                <w:left w:val="none" w:color="auto" w:sz="0" w:space="0"/>
                <w:bottom w:val="none" w:color="auto" w:sz="0" w:space="0"/>
                <w:right w:val="none" w:color="auto" w:sz="0" w:space="0"/>
              </w:pBdr>
              <w:wordWrap/>
              <w:adjustRightInd/>
              <w:snapToGrid/>
              <w:spacing w:beforeAutospacing="0" w:after="0" w:afterAutospacing="0" w:line="240" w:lineRule="auto"/>
              <w:ind w:left="0" w:right="0"/>
              <w:jc w:val="left"/>
              <w:textAlignment w:val="baseline"/>
              <w:rPr>
                <w:rFonts w:hint="eastAsia" w:ascii="微软雅黑" w:hAnsi="微软雅黑" w:eastAsia="微软雅黑" w:cs="微软雅黑"/>
                <w:color w:val="333333"/>
                <w:sz w:val="24"/>
                <w:szCs w:val="24"/>
              </w:rPr>
            </w:pPr>
            <w:r>
              <w:rPr>
                <w:rFonts w:hint="eastAsia" w:ascii="仿宋" w:hAnsi="仿宋" w:eastAsia="仿宋" w:cs="仿宋"/>
                <w:color w:val="333333"/>
                <w:kern w:val="0"/>
                <w:sz w:val="24"/>
                <w:szCs w:val="24"/>
                <w:lang w:val="en-US" w:eastAsia="zh-CN"/>
              </w:rPr>
              <w:t>C1113219000001投资者可依据该编码在"中国理财网（www.chinawealth.com.cn）"查询产品信息。</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203" w:hRule="atLeast"/>
          <w:jc w:val="center"/>
        </w:trPr>
        <w:tc>
          <w:tcPr>
            <w:tcW w:w="2250" w:type="dxa"/>
            <w:tcBorders>
              <w:top w:val="nil"/>
              <w:left w:val="single" w:color="auto" w:sz="8" w:space="0"/>
              <w:bottom w:val="single" w:color="auto" w:sz="8" w:space="0"/>
              <w:right w:val="single" w:color="auto" w:sz="8" w:space="0"/>
            </w:tcBorders>
            <w:tcMar>
              <w:top w:w="45" w:type="dxa"/>
              <w:left w:w="45" w:type="dxa"/>
              <w:bottom w:w="45" w:type="dxa"/>
              <w:right w:w="45" w:type="dxa"/>
            </w:tcMar>
            <w:vAlign w:val="top"/>
          </w:tcPr>
          <w:p>
            <w:pPr>
              <w:widowControl/>
              <w:pBdr>
                <w:top w:val="none" w:color="auto" w:sz="0" w:space="0"/>
                <w:left w:val="none" w:color="auto" w:sz="0" w:space="0"/>
                <w:bottom w:val="none" w:color="auto" w:sz="0" w:space="0"/>
                <w:right w:val="none" w:color="auto" w:sz="0" w:space="0"/>
              </w:pBdr>
              <w:wordWrap/>
              <w:adjustRightInd/>
              <w:snapToGrid/>
              <w:spacing w:beforeAutospacing="0" w:after="0" w:afterAutospacing="0" w:line="240" w:lineRule="auto"/>
              <w:ind w:left="0" w:right="0"/>
              <w:jc w:val="left"/>
              <w:rPr>
                <w:rFonts w:hint="eastAsia" w:ascii="微软雅黑" w:hAnsi="微软雅黑" w:eastAsia="微软雅黑" w:cs="微软雅黑"/>
                <w:color w:val="333333"/>
                <w:sz w:val="21"/>
                <w:szCs w:val="21"/>
              </w:rPr>
            </w:pPr>
            <w:r>
              <w:rPr>
                <w:rFonts w:hint="eastAsia" w:ascii="仿宋" w:hAnsi="仿宋" w:eastAsia="仿宋" w:cs="仿宋"/>
                <w:b/>
                <w:bCs/>
                <w:color w:val="333333"/>
                <w:kern w:val="0"/>
                <w:sz w:val="24"/>
                <w:szCs w:val="24"/>
                <w:lang w:val="en-US" w:eastAsia="zh-CN"/>
              </w:rPr>
              <w:t>理财币种</w:t>
            </w:r>
          </w:p>
        </w:tc>
        <w:tc>
          <w:tcPr>
            <w:tcW w:w="6645" w:type="dxa"/>
            <w:tcBorders>
              <w:top w:val="nil"/>
              <w:left w:val="single" w:color="auto" w:sz="8" w:space="0"/>
              <w:bottom w:val="single" w:color="auto" w:sz="8" w:space="0"/>
              <w:right w:val="single" w:color="auto" w:sz="8" w:space="0"/>
            </w:tcBorders>
            <w:tcMar>
              <w:top w:w="45" w:type="dxa"/>
              <w:left w:w="45" w:type="dxa"/>
              <w:bottom w:w="45" w:type="dxa"/>
              <w:right w:w="45" w:type="dxa"/>
            </w:tcMar>
            <w:vAlign w:val="top"/>
          </w:tcPr>
          <w:p>
            <w:pPr>
              <w:widowControl/>
              <w:pBdr>
                <w:top w:val="none" w:color="auto" w:sz="0" w:space="0"/>
                <w:left w:val="none" w:color="auto" w:sz="0" w:space="0"/>
                <w:bottom w:val="none" w:color="auto" w:sz="0" w:space="0"/>
                <w:right w:val="none" w:color="auto" w:sz="0" w:space="0"/>
              </w:pBdr>
              <w:wordWrap/>
              <w:adjustRightInd/>
              <w:snapToGrid/>
              <w:spacing w:beforeAutospacing="0" w:after="0" w:afterAutospacing="0" w:line="240" w:lineRule="auto"/>
              <w:ind w:left="0" w:right="0"/>
              <w:jc w:val="left"/>
              <w:rPr>
                <w:rFonts w:hint="eastAsia" w:ascii="微软雅黑" w:hAnsi="微软雅黑" w:eastAsia="微软雅黑" w:cs="微软雅黑"/>
                <w:color w:val="333333"/>
                <w:sz w:val="24"/>
                <w:szCs w:val="24"/>
              </w:rPr>
            </w:pPr>
            <w:r>
              <w:rPr>
                <w:rFonts w:hint="eastAsia" w:ascii="仿宋" w:hAnsi="仿宋" w:eastAsia="仿宋" w:cs="仿宋"/>
                <w:color w:val="333333"/>
                <w:kern w:val="0"/>
                <w:sz w:val="24"/>
                <w:szCs w:val="24"/>
                <w:lang w:val="en-US" w:eastAsia="zh-CN"/>
              </w:rPr>
              <w:t>人民币</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203" w:hRule="atLeast"/>
          <w:jc w:val="center"/>
        </w:trPr>
        <w:tc>
          <w:tcPr>
            <w:tcW w:w="2250" w:type="dxa"/>
            <w:tcBorders>
              <w:top w:val="nil"/>
              <w:left w:val="single" w:color="auto" w:sz="8" w:space="0"/>
              <w:bottom w:val="single" w:color="auto" w:sz="8" w:space="0"/>
              <w:right w:val="single" w:color="auto" w:sz="8" w:space="0"/>
            </w:tcBorders>
            <w:tcMar>
              <w:top w:w="45" w:type="dxa"/>
              <w:left w:w="45" w:type="dxa"/>
              <w:bottom w:w="45" w:type="dxa"/>
              <w:right w:w="45" w:type="dxa"/>
            </w:tcMar>
            <w:vAlign w:val="top"/>
          </w:tcPr>
          <w:p>
            <w:pPr>
              <w:widowControl/>
              <w:pBdr>
                <w:top w:val="none" w:color="auto" w:sz="0" w:space="0"/>
                <w:left w:val="none" w:color="auto" w:sz="0" w:space="0"/>
                <w:bottom w:val="none" w:color="auto" w:sz="0" w:space="0"/>
                <w:right w:val="none" w:color="auto" w:sz="0" w:space="0"/>
              </w:pBdr>
              <w:wordWrap/>
              <w:adjustRightInd/>
              <w:snapToGrid/>
              <w:spacing w:beforeAutospacing="0" w:after="0" w:afterAutospacing="0" w:line="240" w:lineRule="auto"/>
              <w:ind w:left="0" w:right="0"/>
              <w:jc w:val="left"/>
              <w:rPr>
                <w:rFonts w:hint="eastAsia" w:ascii="微软雅黑" w:hAnsi="微软雅黑" w:eastAsia="微软雅黑" w:cs="微软雅黑"/>
                <w:color w:val="333333"/>
                <w:sz w:val="21"/>
                <w:szCs w:val="21"/>
              </w:rPr>
            </w:pPr>
            <w:r>
              <w:rPr>
                <w:rFonts w:hint="eastAsia" w:ascii="仿宋" w:hAnsi="仿宋" w:eastAsia="仿宋" w:cs="仿宋"/>
                <w:b/>
                <w:bCs/>
                <w:color w:val="333333"/>
                <w:kern w:val="0"/>
                <w:sz w:val="24"/>
                <w:szCs w:val="24"/>
                <w:lang w:val="en-US" w:eastAsia="zh-CN"/>
              </w:rPr>
              <w:t>产品类型</w:t>
            </w:r>
          </w:p>
        </w:tc>
        <w:tc>
          <w:tcPr>
            <w:tcW w:w="6645" w:type="dxa"/>
            <w:tcBorders>
              <w:top w:val="nil"/>
              <w:left w:val="single" w:color="auto" w:sz="8" w:space="0"/>
              <w:bottom w:val="single" w:color="auto" w:sz="8" w:space="0"/>
              <w:right w:val="single" w:color="auto" w:sz="8" w:space="0"/>
            </w:tcBorders>
            <w:tcMar>
              <w:top w:w="45" w:type="dxa"/>
              <w:left w:w="45" w:type="dxa"/>
              <w:bottom w:w="45" w:type="dxa"/>
              <w:right w:w="45" w:type="dxa"/>
            </w:tcMar>
            <w:vAlign w:val="top"/>
          </w:tcPr>
          <w:p>
            <w:pPr>
              <w:widowControl/>
              <w:pBdr>
                <w:top w:val="none" w:color="auto" w:sz="0" w:space="0"/>
                <w:left w:val="none" w:color="auto" w:sz="0" w:space="0"/>
                <w:bottom w:val="none" w:color="auto" w:sz="0" w:space="0"/>
                <w:right w:val="none" w:color="auto" w:sz="0" w:space="0"/>
              </w:pBdr>
              <w:wordWrap/>
              <w:adjustRightInd/>
              <w:snapToGrid/>
              <w:spacing w:beforeAutospacing="0" w:after="0" w:afterAutospacing="0" w:line="240" w:lineRule="auto"/>
              <w:ind w:left="0" w:right="0"/>
              <w:jc w:val="left"/>
              <w:rPr>
                <w:rFonts w:hint="eastAsia" w:ascii="微软雅黑" w:hAnsi="微软雅黑" w:eastAsia="微软雅黑" w:cs="微软雅黑"/>
                <w:color w:val="333333"/>
                <w:sz w:val="24"/>
                <w:szCs w:val="24"/>
              </w:rPr>
            </w:pPr>
            <w:r>
              <w:rPr>
                <w:rFonts w:hint="eastAsia" w:ascii="仿宋" w:hAnsi="仿宋" w:eastAsia="仿宋" w:cs="仿宋"/>
                <w:color w:val="333333"/>
                <w:kern w:val="0"/>
                <w:sz w:val="24"/>
                <w:szCs w:val="24"/>
                <w:lang w:val="en-US" w:eastAsia="zh-CN"/>
              </w:rPr>
              <w:t>固定收益类公募产品、开放式产品</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151" w:hRule="atLeast"/>
          <w:jc w:val="center"/>
        </w:trPr>
        <w:tc>
          <w:tcPr>
            <w:tcW w:w="2250" w:type="dxa"/>
            <w:tcBorders>
              <w:top w:val="nil"/>
              <w:left w:val="single" w:color="auto" w:sz="8" w:space="0"/>
              <w:bottom w:val="single" w:color="auto" w:sz="8" w:space="0"/>
              <w:right w:val="single" w:color="auto" w:sz="8" w:space="0"/>
            </w:tcBorders>
            <w:tcMar>
              <w:top w:w="45" w:type="dxa"/>
              <w:left w:w="45" w:type="dxa"/>
              <w:bottom w:w="45" w:type="dxa"/>
              <w:right w:w="45" w:type="dxa"/>
            </w:tcMar>
            <w:vAlign w:val="top"/>
          </w:tcPr>
          <w:p>
            <w:pPr>
              <w:widowControl/>
              <w:pBdr>
                <w:top w:val="none" w:color="auto" w:sz="0" w:space="0"/>
                <w:left w:val="none" w:color="auto" w:sz="0" w:space="0"/>
                <w:bottom w:val="none" w:color="auto" w:sz="0" w:space="0"/>
                <w:right w:val="none" w:color="auto" w:sz="0" w:space="0"/>
              </w:pBdr>
              <w:wordWrap/>
              <w:adjustRightInd/>
              <w:snapToGrid/>
              <w:spacing w:beforeAutospacing="0" w:after="0" w:afterAutospacing="0" w:line="240" w:lineRule="auto"/>
              <w:ind w:left="0" w:right="0"/>
              <w:jc w:val="left"/>
              <w:rPr>
                <w:rFonts w:hint="eastAsia" w:ascii="微软雅黑" w:hAnsi="微软雅黑" w:eastAsia="微软雅黑" w:cs="微软雅黑"/>
                <w:color w:val="333333"/>
                <w:sz w:val="21"/>
                <w:szCs w:val="21"/>
              </w:rPr>
            </w:pPr>
            <w:r>
              <w:rPr>
                <w:rFonts w:hint="eastAsia" w:ascii="仿宋" w:hAnsi="仿宋" w:eastAsia="仿宋" w:cs="仿宋"/>
                <w:b/>
                <w:bCs/>
                <w:color w:val="333333"/>
                <w:kern w:val="0"/>
                <w:sz w:val="24"/>
                <w:szCs w:val="24"/>
                <w:lang w:val="en-US" w:eastAsia="zh-CN"/>
              </w:rPr>
              <w:t>收益类型</w:t>
            </w:r>
          </w:p>
        </w:tc>
        <w:tc>
          <w:tcPr>
            <w:tcW w:w="6645" w:type="dxa"/>
            <w:tcBorders>
              <w:top w:val="nil"/>
              <w:left w:val="single" w:color="auto" w:sz="8" w:space="0"/>
              <w:bottom w:val="single" w:color="auto" w:sz="8" w:space="0"/>
              <w:right w:val="single" w:color="auto" w:sz="8" w:space="0"/>
            </w:tcBorders>
            <w:tcMar>
              <w:top w:w="45" w:type="dxa"/>
              <w:left w:w="45" w:type="dxa"/>
              <w:bottom w:w="45" w:type="dxa"/>
              <w:right w:w="45" w:type="dxa"/>
            </w:tcMar>
            <w:vAlign w:val="top"/>
          </w:tcPr>
          <w:p>
            <w:pPr>
              <w:widowControl/>
              <w:pBdr>
                <w:top w:val="none" w:color="auto" w:sz="0" w:space="0"/>
                <w:left w:val="none" w:color="auto" w:sz="0" w:space="0"/>
                <w:bottom w:val="none" w:color="auto" w:sz="0" w:space="0"/>
                <w:right w:val="none" w:color="auto" w:sz="0" w:space="0"/>
              </w:pBdr>
              <w:wordWrap/>
              <w:adjustRightInd/>
              <w:snapToGrid/>
              <w:spacing w:beforeAutospacing="0" w:after="0" w:afterAutospacing="0" w:line="240" w:lineRule="auto"/>
              <w:ind w:left="0" w:right="0"/>
              <w:jc w:val="left"/>
              <w:rPr>
                <w:rFonts w:hint="eastAsia" w:ascii="微软雅黑" w:hAnsi="微软雅黑" w:eastAsia="微软雅黑" w:cs="微软雅黑"/>
                <w:color w:val="333333"/>
                <w:sz w:val="24"/>
                <w:szCs w:val="24"/>
              </w:rPr>
            </w:pPr>
            <w:r>
              <w:rPr>
                <w:rFonts w:hint="eastAsia" w:ascii="仿宋" w:hAnsi="仿宋" w:eastAsia="仿宋" w:cs="仿宋"/>
                <w:color w:val="333333"/>
                <w:kern w:val="0"/>
                <w:sz w:val="24"/>
                <w:szCs w:val="24"/>
                <w:lang w:val="en-US" w:eastAsia="zh-CN"/>
              </w:rPr>
              <w:t>非保本浮动收益型</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151" w:hRule="atLeast"/>
          <w:jc w:val="center"/>
        </w:trPr>
        <w:tc>
          <w:tcPr>
            <w:tcW w:w="2250" w:type="dxa"/>
            <w:tcBorders>
              <w:top w:val="nil"/>
              <w:left w:val="single" w:color="auto" w:sz="8" w:space="0"/>
              <w:bottom w:val="single" w:color="auto" w:sz="8" w:space="0"/>
              <w:right w:val="single" w:color="auto" w:sz="8" w:space="0"/>
            </w:tcBorders>
            <w:tcMar>
              <w:top w:w="45" w:type="dxa"/>
              <w:left w:w="45" w:type="dxa"/>
              <w:bottom w:w="45" w:type="dxa"/>
              <w:right w:w="45" w:type="dxa"/>
            </w:tcMar>
            <w:vAlign w:val="top"/>
          </w:tcPr>
          <w:p>
            <w:pPr>
              <w:widowControl/>
              <w:pBdr>
                <w:top w:val="none" w:color="auto" w:sz="0" w:space="0"/>
                <w:left w:val="none" w:color="auto" w:sz="0" w:space="0"/>
                <w:bottom w:val="none" w:color="auto" w:sz="0" w:space="0"/>
                <w:right w:val="none" w:color="auto" w:sz="0" w:space="0"/>
              </w:pBdr>
              <w:wordWrap/>
              <w:adjustRightInd/>
              <w:snapToGrid/>
              <w:spacing w:beforeAutospacing="0" w:after="0" w:afterAutospacing="0" w:line="240" w:lineRule="auto"/>
              <w:ind w:left="0" w:right="0"/>
              <w:jc w:val="left"/>
              <w:rPr>
                <w:rFonts w:hint="eastAsia" w:ascii="微软雅黑" w:hAnsi="微软雅黑" w:eastAsia="微软雅黑" w:cs="微软雅黑"/>
                <w:color w:val="333333"/>
                <w:sz w:val="21"/>
                <w:szCs w:val="21"/>
              </w:rPr>
            </w:pPr>
            <w:r>
              <w:rPr>
                <w:rFonts w:hint="eastAsia" w:ascii="仿宋" w:hAnsi="仿宋" w:eastAsia="仿宋" w:cs="仿宋"/>
                <w:b/>
                <w:bCs/>
                <w:color w:val="333333"/>
                <w:kern w:val="0"/>
                <w:sz w:val="24"/>
                <w:szCs w:val="24"/>
                <w:lang w:val="en-US" w:eastAsia="zh-CN"/>
              </w:rPr>
              <w:t>销售对象</w:t>
            </w:r>
          </w:p>
        </w:tc>
        <w:tc>
          <w:tcPr>
            <w:tcW w:w="6645" w:type="dxa"/>
            <w:tcBorders>
              <w:top w:val="nil"/>
              <w:left w:val="single" w:color="auto" w:sz="8" w:space="0"/>
              <w:bottom w:val="single" w:color="auto" w:sz="8" w:space="0"/>
              <w:right w:val="single" w:color="auto" w:sz="8" w:space="0"/>
            </w:tcBorders>
            <w:tcMar>
              <w:top w:w="45" w:type="dxa"/>
              <w:left w:w="45" w:type="dxa"/>
              <w:bottom w:w="45" w:type="dxa"/>
              <w:right w:w="45" w:type="dxa"/>
            </w:tcMar>
            <w:vAlign w:val="top"/>
          </w:tcPr>
          <w:p>
            <w:pPr>
              <w:widowControl/>
              <w:pBdr>
                <w:top w:val="none" w:color="auto" w:sz="0" w:space="0"/>
                <w:left w:val="none" w:color="auto" w:sz="0" w:space="0"/>
                <w:bottom w:val="none" w:color="auto" w:sz="0" w:space="0"/>
                <w:right w:val="none" w:color="auto" w:sz="0" w:space="0"/>
              </w:pBdr>
              <w:wordWrap/>
              <w:adjustRightInd/>
              <w:snapToGrid/>
              <w:spacing w:beforeAutospacing="0" w:after="0" w:afterAutospacing="0" w:line="240" w:lineRule="auto"/>
              <w:ind w:left="0" w:right="0"/>
              <w:jc w:val="left"/>
              <w:rPr>
                <w:rFonts w:hint="eastAsia" w:ascii="微软雅黑" w:hAnsi="微软雅黑" w:eastAsia="微软雅黑" w:cs="微软雅黑"/>
                <w:color w:val="333333"/>
                <w:sz w:val="24"/>
                <w:szCs w:val="24"/>
              </w:rPr>
            </w:pPr>
            <w:r>
              <w:rPr>
                <w:rFonts w:hint="eastAsia" w:ascii="仿宋" w:hAnsi="仿宋" w:eastAsia="仿宋" w:cs="仿宋"/>
                <w:color w:val="333333"/>
                <w:kern w:val="0"/>
                <w:sz w:val="24"/>
                <w:szCs w:val="24"/>
                <w:lang w:val="en-US" w:eastAsia="zh-CN"/>
              </w:rPr>
              <w:t>个人投资者、机构投资者</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151" w:hRule="atLeast"/>
          <w:jc w:val="center"/>
        </w:trPr>
        <w:tc>
          <w:tcPr>
            <w:tcW w:w="2250" w:type="dxa"/>
            <w:tcBorders>
              <w:top w:val="nil"/>
              <w:left w:val="single" w:color="auto" w:sz="8" w:space="0"/>
              <w:bottom w:val="single" w:color="auto" w:sz="8" w:space="0"/>
              <w:right w:val="single" w:color="auto" w:sz="8" w:space="0"/>
            </w:tcBorders>
            <w:tcMar>
              <w:top w:w="45" w:type="dxa"/>
              <w:left w:w="45" w:type="dxa"/>
              <w:bottom w:w="45" w:type="dxa"/>
              <w:right w:w="45" w:type="dxa"/>
            </w:tcMar>
            <w:vAlign w:val="top"/>
          </w:tcPr>
          <w:p>
            <w:pPr>
              <w:widowControl/>
              <w:pBdr>
                <w:top w:val="none" w:color="auto" w:sz="0" w:space="0"/>
                <w:left w:val="none" w:color="auto" w:sz="0" w:space="0"/>
                <w:bottom w:val="none" w:color="auto" w:sz="0" w:space="0"/>
                <w:right w:val="none" w:color="auto" w:sz="0" w:space="0"/>
              </w:pBdr>
              <w:wordWrap/>
              <w:adjustRightInd/>
              <w:snapToGrid/>
              <w:spacing w:beforeAutospacing="0" w:after="0" w:afterAutospacing="0" w:line="240" w:lineRule="auto"/>
              <w:ind w:left="0" w:right="0"/>
              <w:jc w:val="left"/>
              <w:rPr>
                <w:rFonts w:hint="eastAsia" w:ascii="微软雅黑" w:hAnsi="微软雅黑" w:eastAsia="微软雅黑" w:cs="微软雅黑"/>
                <w:color w:val="333333"/>
                <w:sz w:val="21"/>
                <w:szCs w:val="21"/>
              </w:rPr>
            </w:pPr>
            <w:r>
              <w:rPr>
                <w:rFonts w:hint="eastAsia" w:ascii="仿宋" w:hAnsi="仿宋" w:eastAsia="仿宋" w:cs="仿宋"/>
                <w:b/>
                <w:bCs/>
                <w:color w:val="333333"/>
                <w:kern w:val="0"/>
                <w:sz w:val="24"/>
                <w:szCs w:val="24"/>
                <w:lang w:val="en-US" w:eastAsia="zh-CN"/>
              </w:rPr>
              <w:t>内部风险评级</w:t>
            </w:r>
          </w:p>
        </w:tc>
        <w:tc>
          <w:tcPr>
            <w:tcW w:w="6645" w:type="dxa"/>
            <w:tcBorders>
              <w:top w:val="nil"/>
              <w:left w:val="single" w:color="auto" w:sz="8" w:space="0"/>
              <w:bottom w:val="single" w:color="auto" w:sz="8" w:space="0"/>
              <w:right w:val="single" w:color="auto" w:sz="8" w:space="0"/>
            </w:tcBorders>
            <w:tcMar>
              <w:top w:w="45" w:type="dxa"/>
              <w:left w:w="45" w:type="dxa"/>
              <w:bottom w:w="45" w:type="dxa"/>
              <w:right w:w="45" w:type="dxa"/>
            </w:tcMar>
            <w:vAlign w:val="top"/>
          </w:tcPr>
          <w:p>
            <w:pPr>
              <w:widowControl/>
              <w:pBdr>
                <w:top w:val="none" w:color="auto" w:sz="0" w:space="0"/>
                <w:left w:val="none" w:color="auto" w:sz="0" w:space="0"/>
                <w:bottom w:val="none" w:color="auto" w:sz="0" w:space="0"/>
                <w:right w:val="none" w:color="auto" w:sz="0" w:space="0"/>
              </w:pBdr>
              <w:wordWrap/>
              <w:adjustRightInd/>
              <w:snapToGrid/>
              <w:spacing w:beforeAutospacing="0" w:after="0" w:afterAutospacing="0" w:line="240" w:lineRule="auto"/>
              <w:ind w:left="0" w:right="0"/>
              <w:jc w:val="left"/>
              <w:rPr>
                <w:rFonts w:hint="eastAsia" w:ascii="微软雅黑" w:hAnsi="微软雅黑" w:eastAsia="微软雅黑" w:cs="微软雅黑"/>
                <w:color w:val="333333"/>
                <w:sz w:val="24"/>
                <w:szCs w:val="24"/>
              </w:rPr>
            </w:pPr>
            <w:r>
              <w:rPr>
                <w:rFonts w:hint="eastAsia" w:ascii="仿宋" w:hAnsi="仿宋" w:eastAsia="仿宋" w:cs="仿宋"/>
                <w:color w:val="333333"/>
                <w:kern w:val="0"/>
                <w:sz w:val="24"/>
                <w:szCs w:val="24"/>
                <w:lang w:val="en-US" w:eastAsia="zh-CN"/>
              </w:rPr>
              <w:t>根据长沙农商银行理财产品风险评级，本产品属于[低风险□、中低风险</w:t>
            </w:r>
            <w:r>
              <w:rPr>
                <w:rFonts w:hint="eastAsia" w:ascii="仿宋" w:hAnsi="仿宋" w:eastAsia="仿宋" w:cs="仿宋"/>
                <w:color w:val="333333"/>
                <w:kern w:val="0"/>
                <w:sz w:val="24"/>
                <w:szCs w:val="24"/>
                <w:lang w:val="en-US" w:eastAsia="zh-CN"/>
              </w:rPr>
              <w:sym w:font="Wingdings 2" w:char="0052"/>
            </w:r>
            <w:r>
              <w:rPr>
                <w:rFonts w:hint="eastAsia" w:ascii="仿宋" w:hAnsi="仿宋" w:eastAsia="仿宋" w:cs="仿宋"/>
                <w:color w:val="333333"/>
                <w:kern w:val="0"/>
                <w:sz w:val="24"/>
                <w:szCs w:val="24"/>
                <w:lang w:val="en-US" w:eastAsia="zh-CN"/>
              </w:rPr>
              <w:t>、中等风险□、中高风险□、高风险□]</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151" w:hRule="atLeast"/>
          <w:jc w:val="center"/>
        </w:trPr>
        <w:tc>
          <w:tcPr>
            <w:tcW w:w="2250" w:type="dxa"/>
            <w:tcBorders>
              <w:top w:val="nil"/>
              <w:left w:val="single" w:color="auto" w:sz="8" w:space="0"/>
              <w:bottom w:val="single" w:color="auto" w:sz="8" w:space="0"/>
              <w:right w:val="single" w:color="auto" w:sz="8" w:space="0"/>
            </w:tcBorders>
            <w:tcMar>
              <w:top w:w="45" w:type="dxa"/>
              <w:left w:w="45" w:type="dxa"/>
              <w:bottom w:w="45" w:type="dxa"/>
              <w:right w:w="45" w:type="dxa"/>
            </w:tcMar>
            <w:vAlign w:val="top"/>
          </w:tcPr>
          <w:p>
            <w:pPr>
              <w:widowControl/>
              <w:pBdr>
                <w:top w:val="none" w:color="auto" w:sz="0" w:space="0"/>
                <w:left w:val="none" w:color="auto" w:sz="0" w:space="0"/>
                <w:bottom w:val="none" w:color="auto" w:sz="0" w:space="0"/>
                <w:right w:val="none" w:color="auto" w:sz="0" w:space="0"/>
              </w:pBdr>
              <w:wordWrap/>
              <w:adjustRightInd/>
              <w:snapToGrid/>
              <w:spacing w:beforeAutospacing="0" w:after="0" w:afterAutospacing="0" w:line="240" w:lineRule="auto"/>
              <w:ind w:left="0" w:right="0"/>
              <w:jc w:val="left"/>
              <w:rPr>
                <w:rFonts w:hint="eastAsia" w:ascii="微软雅黑" w:hAnsi="微软雅黑" w:eastAsia="微软雅黑" w:cs="微软雅黑"/>
                <w:color w:val="333333"/>
                <w:sz w:val="21"/>
                <w:szCs w:val="21"/>
              </w:rPr>
            </w:pPr>
            <w:r>
              <w:rPr>
                <w:rFonts w:hint="eastAsia" w:ascii="仿宋" w:hAnsi="仿宋" w:eastAsia="仿宋" w:cs="仿宋"/>
                <w:b/>
                <w:bCs/>
                <w:color w:val="333333"/>
                <w:kern w:val="0"/>
                <w:sz w:val="24"/>
                <w:szCs w:val="24"/>
                <w:lang w:val="en-US" w:eastAsia="zh-CN"/>
              </w:rPr>
              <w:t>适合投资者</w:t>
            </w:r>
          </w:p>
        </w:tc>
        <w:tc>
          <w:tcPr>
            <w:tcW w:w="6645" w:type="dxa"/>
            <w:tcBorders>
              <w:top w:val="nil"/>
              <w:left w:val="single" w:color="auto" w:sz="8" w:space="0"/>
              <w:bottom w:val="single" w:color="auto" w:sz="8" w:space="0"/>
              <w:right w:val="single" w:color="auto" w:sz="8" w:space="0"/>
            </w:tcBorders>
            <w:tcMar>
              <w:top w:w="45" w:type="dxa"/>
              <w:left w:w="45" w:type="dxa"/>
              <w:bottom w:w="45" w:type="dxa"/>
              <w:right w:w="45" w:type="dxa"/>
            </w:tcMar>
            <w:vAlign w:val="top"/>
          </w:tcPr>
          <w:p>
            <w:pPr>
              <w:widowControl/>
              <w:pBdr>
                <w:top w:val="none" w:color="auto" w:sz="0" w:space="0"/>
                <w:left w:val="none" w:color="auto" w:sz="0" w:space="0"/>
                <w:bottom w:val="none" w:color="auto" w:sz="0" w:space="0"/>
                <w:right w:val="none" w:color="auto" w:sz="0" w:space="0"/>
              </w:pBdr>
              <w:wordWrap/>
              <w:adjustRightInd/>
              <w:snapToGrid/>
              <w:spacing w:beforeAutospacing="0" w:after="0" w:afterAutospacing="0" w:line="240" w:lineRule="auto"/>
              <w:ind w:left="0" w:right="0"/>
              <w:jc w:val="left"/>
              <w:rPr>
                <w:rFonts w:hint="eastAsia" w:ascii="微软雅黑" w:hAnsi="微软雅黑" w:eastAsia="微软雅黑" w:cs="微软雅黑"/>
                <w:color w:val="333333"/>
                <w:sz w:val="24"/>
                <w:szCs w:val="24"/>
              </w:rPr>
            </w:pPr>
            <w:r>
              <w:rPr>
                <w:rFonts w:hint="eastAsia" w:ascii="仿宋" w:hAnsi="仿宋" w:eastAsia="仿宋" w:cs="仿宋"/>
                <w:color w:val="333333"/>
                <w:kern w:val="0"/>
                <w:sz w:val="24"/>
                <w:szCs w:val="24"/>
                <w:lang w:val="en-US" w:eastAsia="zh-CN"/>
              </w:rPr>
              <w:t>1、本产品适合以下风险承受能力登记的个人投资资：[保守型□、稳健型</w:t>
            </w:r>
            <w:r>
              <w:rPr>
                <w:rFonts w:hint="eastAsia" w:ascii="仿宋" w:hAnsi="仿宋" w:eastAsia="仿宋" w:cs="仿宋"/>
                <w:color w:val="333333"/>
                <w:kern w:val="0"/>
                <w:sz w:val="24"/>
                <w:szCs w:val="24"/>
                <w:lang w:val="en-US" w:eastAsia="zh-CN"/>
              </w:rPr>
              <w:sym w:font="Wingdings 2" w:char="0052"/>
            </w:r>
            <w:r>
              <w:rPr>
                <w:rFonts w:hint="eastAsia" w:ascii="仿宋" w:hAnsi="仿宋" w:eastAsia="仿宋" w:cs="仿宋"/>
                <w:color w:val="333333"/>
                <w:kern w:val="0"/>
                <w:sz w:val="24"/>
                <w:szCs w:val="24"/>
                <w:lang w:val="en-US" w:eastAsia="zh-CN"/>
              </w:rPr>
              <w:t>、平衡型</w:t>
            </w:r>
            <w:r>
              <w:rPr>
                <w:rFonts w:hint="eastAsia" w:ascii="仿宋" w:hAnsi="仿宋" w:eastAsia="仿宋" w:cs="仿宋"/>
                <w:color w:val="333333"/>
                <w:kern w:val="0"/>
                <w:sz w:val="24"/>
                <w:szCs w:val="24"/>
                <w:lang w:val="en-US" w:eastAsia="zh-CN"/>
              </w:rPr>
              <w:sym w:font="Wingdings 2" w:char="0052"/>
            </w:r>
            <w:r>
              <w:rPr>
                <w:rFonts w:hint="eastAsia" w:ascii="仿宋" w:hAnsi="仿宋" w:eastAsia="仿宋" w:cs="仿宋"/>
                <w:color w:val="333333"/>
                <w:kern w:val="0"/>
                <w:sz w:val="24"/>
                <w:szCs w:val="24"/>
                <w:lang w:val="en-US" w:eastAsia="zh-CN"/>
              </w:rPr>
              <w:t>、成长型</w:t>
            </w:r>
            <w:r>
              <w:rPr>
                <w:rFonts w:hint="eastAsia" w:ascii="仿宋" w:hAnsi="仿宋" w:eastAsia="仿宋" w:cs="仿宋"/>
                <w:color w:val="333333"/>
                <w:kern w:val="0"/>
                <w:sz w:val="24"/>
                <w:szCs w:val="24"/>
                <w:lang w:val="en-US" w:eastAsia="zh-CN"/>
              </w:rPr>
              <w:sym w:font="Wingdings 2" w:char="0052"/>
            </w:r>
            <w:r>
              <w:rPr>
                <w:rFonts w:hint="eastAsia" w:ascii="仿宋" w:hAnsi="仿宋" w:eastAsia="仿宋" w:cs="仿宋"/>
                <w:color w:val="333333"/>
                <w:kern w:val="0"/>
                <w:sz w:val="24"/>
                <w:szCs w:val="24"/>
                <w:lang w:val="en-US" w:eastAsia="zh-CN"/>
              </w:rPr>
              <w:t>、进取型</w:t>
            </w:r>
            <w:r>
              <w:rPr>
                <w:rFonts w:hint="eastAsia" w:ascii="仿宋" w:hAnsi="仿宋" w:eastAsia="仿宋" w:cs="仿宋"/>
                <w:color w:val="333333"/>
                <w:kern w:val="0"/>
                <w:sz w:val="24"/>
                <w:szCs w:val="24"/>
                <w:lang w:val="en-US" w:eastAsia="zh-CN"/>
              </w:rPr>
              <w:sym w:font="Wingdings 2" w:char="0052"/>
            </w:r>
            <w:r>
              <w:rPr>
                <w:rFonts w:hint="eastAsia" w:ascii="仿宋" w:hAnsi="仿宋" w:eastAsia="仿宋" w:cs="仿宋"/>
                <w:color w:val="333333"/>
                <w:kern w:val="0"/>
                <w:sz w:val="24"/>
                <w:szCs w:val="24"/>
                <w:lang w:val="en-US" w:eastAsia="zh-CN"/>
              </w:rPr>
              <w:t>]；</w:t>
            </w:r>
          </w:p>
          <w:p>
            <w:pPr>
              <w:widowControl/>
              <w:pBdr>
                <w:top w:val="none" w:color="auto" w:sz="0" w:space="0"/>
                <w:left w:val="none" w:color="auto" w:sz="0" w:space="0"/>
                <w:bottom w:val="none" w:color="auto" w:sz="0" w:space="0"/>
                <w:right w:val="none" w:color="auto" w:sz="0" w:space="0"/>
              </w:pBdr>
              <w:wordWrap/>
              <w:adjustRightInd/>
              <w:snapToGrid/>
              <w:spacing w:beforeAutospacing="0" w:after="0" w:afterAutospacing="0" w:line="240" w:lineRule="auto"/>
              <w:ind w:left="0" w:right="0"/>
              <w:jc w:val="left"/>
              <w:rPr>
                <w:rFonts w:hint="eastAsia" w:ascii="微软雅黑" w:hAnsi="微软雅黑" w:eastAsia="微软雅黑" w:cs="微软雅黑"/>
                <w:color w:val="333333"/>
                <w:sz w:val="24"/>
                <w:szCs w:val="24"/>
              </w:rPr>
            </w:pPr>
            <w:r>
              <w:rPr>
                <w:rFonts w:hint="eastAsia" w:ascii="仿宋" w:hAnsi="仿宋" w:eastAsia="仿宋" w:cs="仿宋"/>
                <w:color w:val="333333"/>
                <w:kern w:val="0"/>
                <w:sz w:val="24"/>
                <w:szCs w:val="24"/>
                <w:lang w:val="en-US" w:eastAsia="zh-CN"/>
              </w:rPr>
              <w:t>2、机构投资者。</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151" w:hRule="atLeast"/>
          <w:jc w:val="center"/>
        </w:trPr>
        <w:tc>
          <w:tcPr>
            <w:tcW w:w="2250" w:type="dxa"/>
            <w:tcBorders>
              <w:top w:val="nil"/>
              <w:left w:val="single" w:color="auto" w:sz="8" w:space="0"/>
              <w:bottom w:val="single" w:color="auto" w:sz="8" w:space="0"/>
              <w:right w:val="single" w:color="auto" w:sz="8" w:space="0"/>
            </w:tcBorders>
            <w:tcMar>
              <w:top w:w="45" w:type="dxa"/>
              <w:left w:w="45" w:type="dxa"/>
              <w:bottom w:w="45" w:type="dxa"/>
              <w:right w:w="45" w:type="dxa"/>
            </w:tcMar>
            <w:vAlign w:val="top"/>
          </w:tcPr>
          <w:p>
            <w:pPr>
              <w:widowControl/>
              <w:pBdr>
                <w:top w:val="none" w:color="auto" w:sz="0" w:space="0"/>
                <w:left w:val="none" w:color="auto" w:sz="0" w:space="0"/>
                <w:bottom w:val="none" w:color="auto" w:sz="0" w:space="0"/>
                <w:right w:val="none" w:color="auto" w:sz="0" w:space="0"/>
              </w:pBdr>
              <w:wordWrap/>
              <w:adjustRightInd/>
              <w:snapToGrid/>
              <w:spacing w:beforeAutospacing="0" w:after="0" w:afterAutospacing="0" w:line="240" w:lineRule="auto"/>
              <w:ind w:left="0" w:right="0"/>
              <w:jc w:val="left"/>
              <w:rPr>
                <w:rFonts w:hint="eastAsia" w:ascii="微软雅黑" w:hAnsi="微软雅黑" w:eastAsia="微软雅黑" w:cs="微软雅黑"/>
                <w:color w:val="333333"/>
                <w:sz w:val="21"/>
                <w:szCs w:val="21"/>
              </w:rPr>
            </w:pPr>
            <w:r>
              <w:rPr>
                <w:rFonts w:hint="eastAsia" w:ascii="仿宋" w:hAnsi="仿宋" w:eastAsia="仿宋" w:cs="仿宋"/>
                <w:b/>
                <w:bCs/>
                <w:color w:val="333333"/>
                <w:kern w:val="0"/>
                <w:sz w:val="24"/>
                <w:szCs w:val="24"/>
                <w:lang w:val="en-US" w:eastAsia="zh-CN"/>
              </w:rPr>
              <w:t>认购起点</w:t>
            </w:r>
          </w:p>
        </w:tc>
        <w:tc>
          <w:tcPr>
            <w:tcW w:w="6645" w:type="dxa"/>
            <w:tcBorders>
              <w:top w:val="nil"/>
              <w:left w:val="single" w:color="auto" w:sz="8" w:space="0"/>
              <w:bottom w:val="single" w:color="auto" w:sz="8" w:space="0"/>
              <w:right w:val="single" w:color="auto" w:sz="8" w:space="0"/>
            </w:tcBorders>
            <w:tcMar>
              <w:top w:w="45" w:type="dxa"/>
              <w:left w:w="45" w:type="dxa"/>
              <w:bottom w:w="45" w:type="dxa"/>
              <w:right w:w="45" w:type="dxa"/>
            </w:tcMar>
            <w:vAlign w:val="top"/>
          </w:tcPr>
          <w:p>
            <w:pPr>
              <w:widowControl/>
              <w:pBdr>
                <w:top w:val="none" w:color="auto" w:sz="0" w:space="0"/>
                <w:left w:val="none" w:color="auto" w:sz="0" w:space="0"/>
                <w:bottom w:val="none" w:color="auto" w:sz="0" w:space="0"/>
                <w:right w:val="none" w:color="auto" w:sz="0" w:space="0"/>
              </w:pBdr>
              <w:wordWrap/>
              <w:adjustRightInd/>
              <w:snapToGrid/>
              <w:spacing w:beforeAutospacing="0" w:after="0" w:afterAutospacing="0" w:line="240" w:lineRule="auto"/>
              <w:ind w:left="0" w:right="0"/>
              <w:jc w:val="left"/>
              <w:rPr>
                <w:rFonts w:hint="eastAsia" w:ascii="微软雅黑" w:hAnsi="微软雅黑" w:eastAsia="微软雅黑" w:cs="微软雅黑"/>
                <w:color w:val="333333"/>
                <w:sz w:val="24"/>
                <w:szCs w:val="24"/>
              </w:rPr>
            </w:pPr>
            <w:r>
              <w:rPr>
                <w:rFonts w:hint="eastAsia" w:ascii="仿宋" w:hAnsi="仿宋" w:eastAsia="仿宋" w:cs="仿宋"/>
                <w:color w:val="333333"/>
                <w:kern w:val="0"/>
                <w:sz w:val="24"/>
                <w:szCs w:val="24"/>
                <w:lang w:val="en-US" w:eastAsia="zh-CN"/>
              </w:rPr>
              <w:t>认购起点金额为1万元，以1元的整数倍递增（详见第三条第（二）款）</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57" w:hRule="atLeast"/>
          <w:jc w:val="center"/>
        </w:trPr>
        <w:tc>
          <w:tcPr>
            <w:tcW w:w="2250" w:type="dxa"/>
            <w:tcBorders>
              <w:top w:val="nil"/>
              <w:left w:val="single" w:color="auto" w:sz="8" w:space="0"/>
              <w:bottom w:val="single" w:color="auto" w:sz="8" w:space="0"/>
              <w:right w:val="single" w:color="auto" w:sz="8" w:space="0"/>
            </w:tcBorders>
            <w:tcMar>
              <w:top w:w="45" w:type="dxa"/>
              <w:left w:w="45" w:type="dxa"/>
              <w:bottom w:w="45" w:type="dxa"/>
              <w:right w:w="45" w:type="dxa"/>
            </w:tcMar>
            <w:vAlign w:val="top"/>
          </w:tcPr>
          <w:p>
            <w:pPr>
              <w:widowControl/>
              <w:pBdr>
                <w:top w:val="none" w:color="auto" w:sz="0" w:space="0"/>
                <w:left w:val="none" w:color="auto" w:sz="0" w:space="0"/>
                <w:bottom w:val="none" w:color="auto" w:sz="0" w:space="0"/>
                <w:right w:val="none" w:color="auto" w:sz="0" w:space="0"/>
              </w:pBdr>
              <w:wordWrap/>
              <w:adjustRightInd/>
              <w:snapToGrid/>
              <w:spacing w:beforeAutospacing="0" w:after="0" w:afterAutospacing="0" w:line="240" w:lineRule="auto"/>
              <w:ind w:left="0" w:right="0"/>
              <w:jc w:val="left"/>
              <w:rPr>
                <w:rFonts w:hint="eastAsia" w:ascii="微软雅黑" w:hAnsi="微软雅黑" w:eastAsia="微软雅黑" w:cs="微软雅黑"/>
                <w:color w:val="333333"/>
                <w:sz w:val="21"/>
                <w:szCs w:val="21"/>
              </w:rPr>
            </w:pPr>
            <w:r>
              <w:rPr>
                <w:rFonts w:hint="eastAsia" w:ascii="仿宋" w:hAnsi="仿宋" w:eastAsia="仿宋" w:cs="仿宋"/>
                <w:b/>
                <w:bCs/>
                <w:color w:val="333333"/>
                <w:kern w:val="0"/>
                <w:sz w:val="24"/>
                <w:szCs w:val="24"/>
                <w:lang w:val="en-US" w:eastAsia="zh-CN"/>
              </w:rPr>
              <w:t>发行规模</w:t>
            </w:r>
          </w:p>
        </w:tc>
        <w:tc>
          <w:tcPr>
            <w:tcW w:w="6645" w:type="dxa"/>
            <w:tcBorders>
              <w:top w:val="nil"/>
              <w:left w:val="single" w:color="auto" w:sz="8" w:space="0"/>
              <w:bottom w:val="single" w:color="auto" w:sz="8" w:space="0"/>
              <w:right w:val="single" w:color="auto" w:sz="8" w:space="0"/>
            </w:tcBorders>
            <w:tcMar>
              <w:top w:w="45" w:type="dxa"/>
              <w:left w:w="45" w:type="dxa"/>
              <w:bottom w:w="45" w:type="dxa"/>
              <w:right w:w="45" w:type="dxa"/>
            </w:tcMar>
            <w:vAlign w:val="top"/>
          </w:tcPr>
          <w:p>
            <w:pPr>
              <w:widowControl/>
              <w:pBdr>
                <w:top w:val="none" w:color="auto" w:sz="0" w:space="0"/>
                <w:left w:val="none" w:color="auto" w:sz="0" w:space="0"/>
                <w:bottom w:val="none" w:color="auto" w:sz="0" w:space="0"/>
                <w:right w:val="none" w:color="auto" w:sz="0" w:space="0"/>
              </w:pBdr>
              <w:wordWrap/>
              <w:adjustRightInd/>
              <w:snapToGrid/>
              <w:spacing w:beforeAutospacing="0" w:after="0" w:afterAutospacing="0" w:line="240" w:lineRule="auto"/>
              <w:ind w:left="0" w:right="0"/>
              <w:jc w:val="left"/>
              <w:rPr>
                <w:rFonts w:hint="eastAsia" w:ascii="微软雅黑" w:hAnsi="微软雅黑" w:eastAsia="微软雅黑" w:cs="微软雅黑"/>
                <w:color w:val="333333"/>
                <w:sz w:val="24"/>
                <w:szCs w:val="24"/>
              </w:rPr>
            </w:pPr>
            <w:r>
              <w:rPr>
                <w:rFonts w:hint="eastAsia" w:ascii="仿宋" w:hAnsi="仿宋" w:eastAsia="仿宋" w:cs="仿宋"/>
                <w:color w:val="333333"/>
                <w:kern w:val="0"/>
                <w:sz w:val="24"/>
                <w:szCs w:val="24"/>
                <w:lang w:val="en-US" w:eastAsia="zh-CN"/>
              </w:rPr>
              <w:t>本理财产品发行规模上限为30亿元人民币</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57" w:hRule="atLeast"/>
          <w:jc w:val="center"/>
        </w:trPr>
        <w:tc>
          <w:tcPr>
            <w:tcW w:w="2250" w:type="dxa"/>
            <w:tcBorders>
              <w:top w:val="nil"/>
              <w:left w:val="single" w:color="auto" w:sz="8" w:space="0"/>
              <w:bottom w:val="single" w:color="auto" w:sz="8" w:space="0"/>
              <w:right w:val="single" w:color="auto" w:sz="8" w:space="0"/>
            </w:tcBorders>
            <w:tcMar>
              <w:top w:w="45" w:type="dxa"/>
              <w:left w:w="45" w:type="dxa"/>
              <w:bottom w:w="45" w:type="dxa"/>
              <w:right w:w="45" w:type="dxa"/>
            </w:tcMar>
            <w:vAlign w:val="top"/>
          </w:tcPr>
          <w:p>
            <w:pPr>
              <w:widowControl/>
              <w:pBdr>
                <w:top w:val="none" w:color="auto" w:sz="0" w:space="0"/>
                <w:left w:val="none" w:color="auto" w:sz="0" w:space="0"/>
                <w:bottom w:val="none" w:color="auto" w:sz="0" w:space="0"/>
                <w:right w:val="none" w:color="auto" w:sz="0" w:space="0"/>
              </w:pBdr>
              <w:wordWrap/>
              <w:adjustRightInd/>
              <w:snapToGrid/>
              <w:spacing w:beforeAutospacing="0" w:after="0" w:afterAutospacing="0" w:line="240" w:lineRule="auto"/>
              <w:ind w:left="0" w:right="0"/>
              <w:jc w:val="left"/>
              <w:rPr>
                <w:rFonts w:hint="eastAsia" w:ascii="微软雅黑" w:hAnsi="微软雅黑" w:eastAsia="微软雅黑" w:cs="微软雅黑"/>
                <w:color w:val="333333"/>
                <w:sz w:val="21"/>
                <w:szCs w:val="21"/>
              </w:rPr>
            </w:pPr>
            <w:r>
              <w:rPr>
                <w:rFonts w:hint="eastAsia" w:ascii="仿宋" w:hAnsi="仿宋" w:eastAsia="仿宋" w:cs="仿宋"/>
                <w:b/>
                <w:bCs/>
                <w:color w:val="333333"/>
                <w:kern w:val="0"/>
                <w:sz w:val="24"/>
                <w:szCs w:val="24"/>
                <w:lang w:val="en-US" w:eastAsia="zh-CN"/>
              </w:rPr>
              <w:t>产品期限</w:t>
            </w:r>
          </w:p>
        </w:tc>
        <w:tc>
          <w:tcPr>
            <w:tcW w:w="6645" w:type="dxa"/>
            <w:tcBorders>
              <w:top w:val="nil"/>
              <w:left w:val="single" w:color="auto" w:sz="8" w:space="0"/>
              <w:bottom w:val="single" w:color="auto" w:sz="8" w:space="0"/>
              <w:right w:val="single" w:color="auto" w:sz="8" w:space="0"/>
            </w:tcBorders>
            <w:tcMar>
              <w:top w:w="45" w:type="dxa"/>
              <w:left w:w="45" w:type="dxa"/>
              <w:bottom w:w="45" w:type="dxa"/>
              <w:right w:w="45" w:type="dxa"/>
            </w:tcMar>
            <w:vAlign w:val="top"/>
          </w:tcPr>
          <w:p>
            <w:pPr>
              <w:widowControl/>
              <w:pBdr>
                <w:top w:val="none" w:color="auto" w:sz="0" w:space="0"/>
                <w:left w:val="none" w:color="auto" w:sz="0" w:space="0"/>
                <w:bottom w:val="none" w:color="auto" w:sz="0" w:space="0"/>
                <w:right w:val="none" w:color="auto" w:sz="0" w:space="0"/>
              </w:pBdr>
              <w:wordWrap/>
              <w:adjustRightInd/>
              <w:snapToGrid/>
              <w:spacing w:beforeAutospacing="0" w:after="0" w:afterAutospacing="0" w:line="240" w:lineRule="auto"/>
              <w:ind w:left="0" w:right="0"/>
              <w:jc w:val="left"/>
              <w:rPr>
                <w:rFonts w:hint="eastAsia" w:ascii="微软雅黑" w:hAnsi="微软雅黑" w:eastAsia="微软雅黑" w:cs="微软雅黑"/>
                <w:color w:val="333333"/>
                <w:sz w:val="24"/>
                <w:szCs w:val="24"/>
              </w:rPr>
            </w:pPr>
            <w:r>
              <w:rPr>
                <w:rFonts w:hint="eastAsia" w:ascii="仿宋" w:hAnsi="仿宋" w:eastAsia="仿宋" w:cs="仿宋"/>
                <w:color w:val="333333"/>
                <w:kern w:val="0"/>
                <w:sz w:val="24"/>
                <w:szCs w:val="24"/>
                <w:lang w:val="en-US" w:eastAsia="zh-CN"/>
              </w:rPr>
              <w:t>无固定期限</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57" w:hRule="atLeast"/>
          <w:jc w:val="center"/>
        </w:trPr>
        <w:tc>
          <w:tcPr>
            <w:tcW w:w="2250" w:type="dxa"/>
            <w:tcBorders>
              <w:top w:val="nil"/>
              <w:left w:val="single" w:color="auto" w:sz="8" w:space="0"/>
              <w:bottom w:val="single" w:color="auto" w:sz="8" w:space="0"/>
              <w:right w:val="single" w:color="auto" w:sz="8" w:space="0"/>
            </w:tcBorders>
            <w:tcMar>
              <w:top w:w="45" w:type="dxa"/>
              <w:left w:w="45" w:type="dxa"/>
              <w:bottom w:w="45" w:type="dxa"/>
              <w:right w:w="45" w:type="dxa"/>
            </w:tcMar>
            <w:vAlign w:val="top"/>
          </w:tcPr>
          <w:p>
            <w:pPr>
              <w:widowControl/>
              <w:pBdr>
                <w:top w:val="none" w:color="auto" w:sz="0" w:space="0"/>
                <w:left w:val="none" w:color="auto" w:sz="0" w:space="0"/>
                <w:bottom w:val="none" w:color="auto" w:sz="0" w:space="0"/>
                <w:right w:val="none" w:color="auto" w:sz="0" w:space="0"/>
              </w:pBdr>
              <w:wordWrap/>
              <w:adjustRightInd/>
              <w:snapToGrid/>
              <w:spacing w:beforeAutospacing="0" w:after="0" w:afterAutospacing="0" w:line="240" w:lineRule="auto"/>
              <w:ind w:left="0" w:right="0"/>
              <w:jc w:val="left"/>
              <w:rPr>
                <w:rFonts w:hint="eastAsia" w:ascii="微软雅黑" w:hAnsi="微软雅黑" w:eastAsia="微软雅黑" w:cs="微软雅黑"/>
                <w:color w:val="333333"/>
                <w:sz w:val="21"/>
                <w:szCs w:val="21"/>
              </w:rPr>
            </w:pPr>
            <w:r>
              <w:rPr>
                <w:rFonts w:hint="eastAsia" w:ascii="仿宋" w:hAnsi="仿宋" w:eastAsia="仿宋" w:cs="仿宋"/>
                <w:b/>
                <w:bCs/>
                <w:color w:val="333333"/>
                <w:kern w:val="0"/>
                <w:sz w:val="24"/>
                <w:szCs w:val="24"/>
                <w:lang w:val="en-US" w:eastAsia="zh-CN"/>
              </w:rPr>
              <w:t>认购期</w:t>
            </w:r>
          </w:p>
        </w:tc>
        <w:tc>
          <w:tcPr>
            <w:tcW w:w="6645" w:type="dxa"/>
            <w:tcBorders>
              <w:top w:val="nil"/>
              <w:left w:val="single" w:color="auto" w:sz="8" w:space="0"/>
              <w:bottom w:val="single" w:color="auto" w:sz="8" w:space="0"/>
              <w:right w:val="single" w:color="auto" w:sz="8" w:space="0"/>
            </w:tcBorders>
            <w:tcMar>
              <w:top w:w="45" w:type="dxa"/>
              <w:left w:w="45" w:type="dxa"/>
              <w:bottom w:w="45" w:type="dxa"/>
              <w:right w:w="45" w:type="dxa"/>
            </w:tcMar>
            <w:vAlign w:val="top"/>
          </w:tcPr>
          <w:p>
            <w:pPr>
              <w:widowControl/>
              <w:pBdr>
                <w:top w:val="none" w:color="auto" w:sz="0" w:space="0"/>
                <w:left w:val="none" w:color="auto" w:sz="0" w:space="0"/>
                <w:bottom w:val="none" w:color="auto" w:sz="0" w:space="0"/>
                <w:right w:val="none" w:color="auto" w:sz="0" w:space="0"/>
              </w:pBdr>
              <w:wordWrap/>
              <w:adjustRightInd/>
              <w:snapToGrid/>
              <w:spacing w:beforeAutospacing="0" w:after="0" w:afterAutospacing="0" w:line="240" w:lineRule="auto"/>
              <w:ind w:left="0" w:right="0"/>
              <w:jc w:val="left"/>
              <w:rPr>
                <w:rFonts w:hint="eastAsia" w:ascii="微软雅黑" w:hAnsi="微软雅黑" w:eastAsia="微软雅黑" w:cs="微软雅黑"/>
                <w:color w:val="333333"/>
                <w:sz w:val="24"/>
                <w:szCs w:val="24"/>
              </w:rPr>
            </w:pPr>
            <w:r>
              <w:rPr>
                <w:rFonts w:hint="eastAsia" w:ascii="仿宋" w:hAnsi="仿宋" w:eastAsia="仿宋" w:cs="仿宋"/>
                <w:color w:val="333333"/>
                <w:kern w:val="0"/>
                <w:sz w:val="24"/>
                <w:szCs w:val="24"/>
                <w:lang w:val="en-US" w:eastAsia="zh-CN"/>
              </w:rPr>
              <w:t>2019年9月5日9:00至2019年9月19日17:00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288" w:hRule="atLeast"/>
          <w:jc w:val="center"/>
        </w:trPr>
        <w:tc>
          <w:tcPr>
            <w:tcW w:w="2250" w:type="dxa"/>
            <w:tcBorders>
              <w:top w:val="nil"/>
              <w:left w:val="single" w:color="auto" w:sz="8" w:space="0"/>
              <w:bottom w:val="single" w:color="auto" w:sz="8" w:space="0"/>
              <w:right w:val="single" w:color="auto" w:sz="8" w:space="0"/>
            </w:tcBorders>
            <w:tcMar>
              <w:top w:w="45" w:type="dxa"/>
              <w:left w:w="45" w:type="dxa"/>
              <w:bottom w:w="45" w:type="dxa"/>
              <w:right w:w="45" w:type="dxa"/>
            </w:tcMar>
            <w:vAlign w:val="top"/>
          </w:tcPr>
          <w:p>
            <w:pPr>
              <w:widowControl/>
              <w:pBdr>
                <w:top w:val="none" w:color="auto" w:sz="0" w:space="0"/>
                <w:left w:val="none" w:color="auto" w:sz="0" w:space="0"/>
                <w:bottom w:val="none" w:color="auto" w:sz="0" w:space="0"/>
                <w:right w:val="none" w:color="auto" w:sz="0" w:space="0"/>
              </w:pBdr>
              <w:wordWrap/>
              <w:adjustRightInd/>
              <w:snapToGrid/>
              <w:spacing w:beforeAutospacing="0" w:after="0" w:afterAutospacing="0" w:line="240" w:lineRule="auto"/>
              <w:ind w:left="0" w:right="0"/>
              <w:jc w:val="left"/>
              <w:rPr>
                <w:rFonts w:hint="eastAsia" w:ascii="微软雅黑" w:hAnsi="微软雅黑" w:eastAsia="微软雅黑" w:cs="微软雅黑"/>
                <w:color w:val="333333"/>
                <w:sz w:val="21"/>
                <w:szCs w:val="21"/>
              </w:rPr>
            </w:pPr>
            <w:r>
              <w:rPr>
                <w:rFonts w:hint="eastAsia" w:ascii="仿宋" w:hAnsi="仿宋" w:eastAsia="仿宋" w:cs="仿宋"/>
                <w:b/>
                <w:bCs/>
                <w:color w:val="333333"/>
                <w:kern w:val="0"/>
                <w:sz w:val="24"/>
                <w:szCs w:val="24"/>
                <w:lang w:val="en-US" w:eastAsia="zh-CN"/>
              </w:rPr>
              <w:t>产品成立日</w:t>
            </w:r>
          </w:p>
        </w:tc>
        <w:tc>
          <w:tcPr>
            <w:tcW w:w="6645" w:type="dxa"/>
            <w:tcBorders>
              <w:top w:val="nil"/>
              <w:left w:val="single" w:color="auto" w:sz="8" w:space="0"/>
              <w:bottom w:val="single" w:color="auto" w:sz="8" w:space="0"/>
              <w:right w:val="single" w:color="auto" w:sz="8" w:space="0"/>
            </w:tcBorders>
            <w:tcMar>
              <w:top w:w="45" w:type="dxa"/>
              <w:left w:w="45" w:type="dxa"/>
              <w:bottom w:w="45" w:type="dxa"/>
              <w:right w:w="45" w:type="dxa"/>
            </w:tcMar>
            <w:vAlign w:val="top"/>
          </w:tcPr>
          <w:p>
            <w:pPr>
              <w:widowControl/>
              <w:pBdr>
                <w:top w:val="none" w:color="auto" w:sz="0" w:space="0"/>
                <w:left w:val="none" w:color="auto" w:sz="0" w:space="0"/>
                <w:bottom w:val="none" w:color="auto" w:sz="0" w:space="0"/>
                <w:right w:val="none" w:color="auto" w:sz="0" w:space="0"/>
              </w:pBdr>
              <w:wordWrap/>
              <w:adjustRightInd/>
              <w:snapToGrid/>
              <w:spacing w:beforeAutospacing="0" w:after="0" w:afterAutospacing="0" w:line="240" w:lineRule="auto"/>
              <w:ind w:left="0" w:right="0"/>
              <w:jc w:val="left"/>
              <w:rPr>
                <w:rFonts w:hint="eastAsia" w:ascii="微软雅黑" w:hAnsi="微软雅黑" w:eastAsia="微软雅黑" w:cs="微软雅黑"/>
                <w:color w:val="333333"/>
                <w:sz w:val="24"/>
                <w:szCs w:val="24"/>
              </w:rPr>
            </w:pPr>
            <w:r>
              <w:rPr>
                <w:rFonts w:hint="eastAsia" w:ascii="仿宋" w:hAnsi="仿宋" w:eastAsia="仿宋" w:cs="仿宋"/>
                <w:color w:val="333333"/>
                <w:kern w:val="0"/>
                <w:sz w:val="24"/>
                <w:szCs w:val="24"/>
                <w:lang w:val="en-US" w:eastAsia="zh-CN"/>
              </w:rPr>
              <w:t>2019年9月20日</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288" w:hRule="atLeast"/>
          <w:jc w:val="center"/>
        </w:trPr>
        <w:tc>
          <w:tcPr>
            <w:tcW w:w="2250" w:type="dxa"/>
            <w:tcBorders>
              <w:top w:val="nil"/>
              <w:left w:val="single" w:color="auto" w:sz="8" w:space="0"/>
              <w:bottom w:val="single" w:color="auto" w:sz="8" w:space="0"/>
              <w:right w:val="single" w:color="auto" w:sz="8" w:space="0"/>
            </w:tcBorders>
            <w:tcMar>
              <w:top w:w="45" w:type="dxa"/>
              <w:left w:w="45" w:type="dxa"/>
              <w:bottom w:w="45" w:type="dxa"/>
              <w:right w:w="45" w:type="dxa"/>
            </w:tcMar>
            <w:vAlign w:val="top"/>
          </w:tcPr>
          <w:p>
            <w:pPr>
              <w:widowControl/>
              <w:pBdr>
                <w:top w:val="none" w:color="auto" w:sz="0" w:space="0"/>
                <w:left w:val="none" w:color="auto" w:sz="0" w:space="0"/>
                <w:bottom w:val="none" w:color="auto" w:sz="0" w:space="0"/>
                <w:right w:val="none" w:color="auto" w:sz="0" w:space="0"/>
              </w:pBdr>
              <w:wordWrap/>
              <w:adjustRightInd/>
              <w:snapToGrid/>
              <w:spacing w:beforeAutospacing="0" w:after="0" w:afterAutospacing="0" w:line="240" w:lineRule="auto"/>
              <w:ind w:left="0" w:right="0"/>
              <w:jc w:val="left"/>
              <w:rPr>
                <w:rFonts w:hint="eastAsia" w:ascii="微软雅黑" w:hAnsi="微软雅黑" w:eastAsia="微软雅黑" w:cs="微软雅黑"/>
                <w:color w:val="333333"/>
                <w:sz w:val="21"/>
                <w:szCs w:val="21"/>
              </w:rPr>
            </w:pPr>
            <w:r>
              <w:rPr>
                <w:rFonts w:hint="eastAsia" w:ascii="仿宋" w:hAnsi="仿宋" w:eastAsia="仿宋" w:cs="仿宋"/>
                <w:b/>
                <w:bCs/>
                <w:color w:val="333333"/>
                <w:kern w:val="0"/>
                <w:sz w:val="24"/>
                <w:szCs w:val="24"/>
                <w:lang w:val="en-US" w:eastAsia="zh-CN"/>
              </w:rPr>
              <w:t>产品成立</w:t>
            </w:r>
          </w:p>
        </w:tc>
        <w:tc>
          <w:tcPr>
            <w:tcW w:w="6645" w:type="dxa"/>
            <w:tcBorders>
              <w:top w:val="nil"/>
              <w:left w:val="single" w:color="auto" w:sz="8" w:space="0"/>
              <w:bottom w:val="single" w:color="auto" w:sz="8" w:space="0"/>
              <w:right w:val="single" w:color="auto" w:sz="8" w:space="0"/>
            </w:tcBorders>
            <w:tcMar>
              <w:top w:w="45" w:type="dxa"/>
              <w:left w:w="45" w:type="dxa"/>
              <w:bottom w:w="45" w:type="dxa"/>
              <w:right w:w="45" w:type="dxa"/>
            </w:tcMar>
            <w:vAlign w:val="top"/>
          </w:tcPr>
          <w:p>
            <w:pPr>
              <w:widowControl/>
              <w:pBdr>
                <w:top w:val="none" w:color="auto" w:sz="0" w:space="0"/>
                <w:left w:val="none" w:color="auto" w:sz="0" w:space="0"/>
                <w:bottom w:val="none" w:color="auto" w:sz="0" w:space="0"/>
                <w:right w:val="none" w:color="auto" w:sz="0" w:space="0"/>
              </w:pBdr>
              <w:wordWrap/>
              <w:adjustRightInd/>
              <w:snapToGrid/>
              <w:spacing w:beforeAutospacing="0" w:after="0" w:afterAutospacing="0" w:line="240" w:lineRule="auto"/>
              <w:ind w:left="0" w:right="0"/>
              <w:jc w:val="left"/>
              <w:rPr>
                <w:rFonts w:hint="eastAsia" w:ascii="微软雅黑" w:hAnsi="微软雅黑" w:eastAsia="微软雅黑" w:cs="微软雅黑"/>
                <w:color w:val="333333"/>
                <w:sz w:val="24"/>
                <w:szCs w:val="24"/>
              </w:rPr>
            </w:pPr>
            <w:r>
              <w:rPr>
                <w:rFonts w:hint="eastAsia" w:ascii="仿宋" w:hAnsi="仿宋" w:eastAsia="仿宋" w:cs="仿宋"/>
                <w:color w:val="333333"/>
                <w:kern w:val="0"/>
                <w:sz w:val="24"/>
                <w:szCs w:val="24"/>
                <w:lang w:val="en-US" w:eastAsia="zh-CN"/>
              </w:rPr>
              <w:t>为保护投资者利益，长沙农商银行可根据市场变化情况缩短或延长募集期并提前或推迟成立，产品提前或推迟成立时长沙农商银行将调整相关日期并通过长沙农商银行网站进行信息披露。产品最终成立规模以实际募集规模为准。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57" w:hRule="atLeast"/>
          <w:jc w:val="center"/>
        </w:trPr>
        <w:tc>
          <w:tcPr>
            <w:tcW w:w="2250" w:type="dxa"/>
            <w:tcBorders>
              <w:top w:val="nil"/>
              <w:left w:val="single" w:color="auto" w:sz="8" w:space="0"/>
              <w:bottom w:val="single" w:color="auto" w:sz="8" w:space="0"/>
              <w:right w:val="single" w:color="auto" w:sz="8" w:space="0"/>
            </w:tcBorders>
            <w:tcMar>
              <w:top w:w="45" w:type="dxa"/>
              <w:left w:w="45" w:type="dxa"/>
              <w:bottom w:w="45" w:type="dxa"/>
              <w:right w:w="45" w:type="dxa"/>
            </w:tcMar>
            <w:vAlign w:val="top"/>
          </w:tcPr>
          <w:p>
            <w:pPr>
              <w:widowControl/>
              <w:pBdr>
                <w:top w:val="none" w:color="auto" w:sz="0" w:space="0"/>
                <w:left w:val="none" w:color="auto" w:sz="0" w:space="0"/>
                <w:bottom w:val="none" w:color="auto" w:sz="0" w:space="0"/>
                <w:right w:val="none" w:color="auto" w:sz="0" w:space="0"/>
              </w:pBdr>
              <w:wordWrap/>
              <w:adjustRightInd/>
              <w:snapToGrid/>
              <w:spacing w:beforeAutospacing="0" w:after="0" w:afterAutospacing="0" w:line="240" w:lineRule="auto"/>
              <w:ind w:left="0" w:right="0"/>
              <w:jc w:val="left"/>
              <w:rPr>
                <w:rFonts w:hint="eastAsia" w:ascii="微软雅黑" w:hAnsi="微软雅黑" w:eastAsia="微软雅黑" w:cs="微软雅黑"/>
                <w:color w:val="333333"/>
                <w:sz w:val="21"/>
                <w:szCs w:val="21"/>
              </w:rPr>
            </w:pPr>
            <w:r>
              <w:rPr>
                <w:rFonts w:hint="eastAsia" w:ascii="仿宋" w:hAnsi="仿宋" w:eastAsia="仿宋" w:cs="仿宋"/>
                <w:b/>
                <w:bCs/>
                <w:color w:val="333333"/>
                <w:kern w:val="0"/>
                <w:sz w:val="24"/>
                <w:szCs w:val="24"/>
                <w:lang w:val="en-US" w:eastAsia="zh-CN"/>
              </w:rPr>
              <w:t>投资封闭期</w:t>
            </w:r>
          </w:p>
        </w:tc>
        <w:tc>
          <w:tcPr>
            <w:tcW w:w="6645" w:type="dxa"/>
            <w:tcBorders>
              <w:top w:val="nil"/>
              <w:left w:val="single" w:color="auto" w:sz="8" w:space="0"/>
              <w:bottom w:val="single" w:color="auto" w:sz="8" w:space="0"/>
              <w:right w:val="single" w:color="auto" w:sz="8" w:space="0"/>
            </w:tcBorders>
            <w:tcMar>
              <w:top w:w="45" w:type="dxa"/>
              <w:left w:w="45" w:type="dxa"/>
              <w:bottom w:w="45" w:type="dxa"/>
              <w:right w:w="45" w:type="dxa"/>
            </w:tcMar>
            <w:vAlign w:val="top"/>
          </w:tcPr>
          <w:p>
            <w:pPr>
              <w:widowControl/>
              <w:pBdr>
                <w:top w:val="none" w:color="auto" w:sz="0" w:space="0"/>
                <w:left w:val="none" w:color="auto" w:sz="0" w:space="0"/>
                <w:bottom w:val="none" w:color="auto" w:sz="0" w:space="0"/>
                <w:right w:val="none" w:color="auto" w:sz="0" w:space="0"/>
              </w:pBdr>
              <w:wordWrap/>
              <w:adjustRightInd/>
              <w:snapToGrid/>
              <w:spacing w:beforeAutospacing="0" w:after="0" w:afterAutospacing="0" w:line="240" w:lineRule="auto"/>
              <w:ind w:left="0" w:right="0"/>
              <w:jc w:val="left"/>
              <w:rPr>
                <w:rFonts w:hint="eastAsia" w:ascii="微软雅黑" w:hAnsi="微软雅黑" w:eastAsia="微软雅黑" w:cs="微软雅黑"/>
                <w:color w:val="333333"/>
                <w:sz w:val="24"/>
                <w:szCs w:val="24"/>
              </w:rPr>
            </w:pPr>
            <w:r>
              <w:rPr>
                <w:rFonts w:hint="eastAsia" w:ascii="仿宋" w:hAnsi="仿宋" w:eastAsia="仿宋" w:cs="仿宋"/>
                <w:color w:val="333333"/>
                <w:kern w:val="0"/>
                <w:sz w:val="24"/>
                <w:szCs w:val="24"/>
                <w:lang w:val="en-US" w:eastAsia="zh-CN"/>
              </w:rPr>
              <w:t>2019年9月20日-2019年10月20日，投资封闭期内不接受申购或赎回申请。（该封闭期内，本理财产品可能主要投资于银行存款类资产，且该投资方向范围及比例符合本理财产品规定的投资方向范围及比例。）</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57" w:hRule="atLeast"/>
          <w:jc w:val="center"/>
        </w:trPr>
        <w:tc>
          <w:tcPr>
            <w:tcW w:w="2250" w:type="dxa"/>
            <w:tcBorders>
              <w:top w:val="nil"/>
              <w:left w:val="single" w:color="auto" w:sz="8" w:space="0"/>
              <w:bottom w:val="single" w:color="auto" w:sz="8" w:space="0"/>
              <w:right w:val="single" w:color="auto" w:sz="8" w:space="0"/>
            </w:tcBorders>
            <w:tcMar>
              <w:top w:w="45" w:type="dxa"/>
              <w:left w:w="45" w:type="dxa"/>
              <w:bottom w:w="45" w:type="dxa"/>
              <w:right w:w="45" w:type="dxa"/>
            </w:tcMar>
            <w:vAlign w:val="top"/>
          </w:tcPr>
          <w:p>
            <w:pPr>
              <w:widowControl/>
              <w:pBdr>
                <w:top w:val="none" w:color="auto" w:sz="0" w:space="0"/>
                <w:left w:val="none" w:color="auto" w:sz="0" w:space="0"/>
                <w:bottom w:val="none" w:color="auto" w:sz="0" w:space="0"/>
                <w:right w:val="none" w:color="auto" w:sz="0" w:space="0"/>
              </w:pBdr>
              <w:wordWrap/>
              <w:adjustRightInd/>
              <w:snapToGrid/>
              <w:spacing w:beforeAutospacing="0" w:after="0" w:afterAutospacing="0" w:line="240" w:lineRule="auto"/>
              <w:ind w:left="0" w:right="0"/>
              <w:jc w:val="left"/>
              <w:rPr>
                <w:rFonts w:hint="eastAsia" w:ascii="微软雅黑" w:hAnsi="微软雅黑" w:eastAsia="微软雅黑" w:cs="微软雅黑"/>
                <w:color w:val="333333"/>
                <w:sz w:val="21"/>
                <w:szCs w:val="21"/>
              </w:rPr>
            </w:pPr>
            <w:r>
              <w:rPr>
                <w:rFonts w:hint="eastAsia" w:ascii="仿宋" w:hAnsi="仿宋" w:eastAsia="仿宋" w:cs="仿宋"/>
                <w:b/>
                <w:bCs/>
                <w:color w:val="333333"/>
                <w:kern w:val="0"/>
                <w:sz w:val="24"/>
                <w:szCs w:val="24"/>
                <w:lang w:val="en-US" w:eastAsia="zh-CN"/>
              </w:rPr>
              <w:t>开放日及开放时间</w:t>
            </w:r>
          </w:p>
        </w:tc>
        <w:tc>
          <w:tcPr>
            <w:tcW w:w="6645" w:type="dxa"/>
            <w:tcBorders>
              <w:top w:val="nil"/>
              <w:left w:val="single" w:color="auto" w:sz="8" w:space="0"/>
              <w:bottom w:val="single" w:color="auto" w:sz="8" w:space="0"/>
              <w:right w:val="single" w:color="auto" w:sz="8" w:space="0"/>
            </w:tcBorders>
            <w:tcMar>
              <w:top w:w="45" w:type="dxa"/>
              <w:left w:w="45" w:type="dxa"/>
              <w:bottom w:w="45" w:type="dxa"/>
              <w:right w:w="45" w:type="dxa"/>
            </w:tcMar>
            <w:vAlign w:val="top"/>
          </w:tcPr>
          <w:p>
            <w:pPr>
              <w:widowControl/>
              <w:pBdr>
                <w:top w:val="none" w:color="auto" w:sz="0" w:space="0"/>
                <w:left w:val="none" w:color="auto" w:sz="0" w:space="0"/>
                <w:bottom w:val="none" w:color="auto" w:sz="0" w:space="0"/>
                <w:right w:val="none" w:color="auto" w:sz="0" w:space="0"/>
              </w:pBdr>
              <w:wordWrap/>
              <w:adjustRightInd/>
              <w:snapToGrid/>
              <w:spacing w:beforeAutospacing="0" w:after="0" w:afterAutospacing="0" w:line="240" w:lineRule="auto"/>
              <w:ind w:left="0" w:right="0"/>
              <w:jc w:val="left"/>
              <w:rPr>
                <w:rFonts w:hint="eastAsia" w:ascii="微软雅黑" w:hAnsi="微软雅黑" w:eastAsia="微软雅黑" w:cs="微软雅黑"/>
                <w:color w:val="333333"/>
                <w:sz w:val="24"/>
                <w:szCs w:val="24"/>
              </w:rPr>
            </w:pPr>
            <w:r>
              <w:rPr>
                <w:rFonts w:hint="eastAsia" w:ascii="仿宋" w:hAnsi="仿宋" w:eastAsia="仿宋" w:cs="仿宋"/>
                <w:color w:val="333333"/>
                <w:kern w:val="0"/>
                <w:sz w:val="24"/>
                <w:szCs w:val="24"/>
                <w:lang w:val="en-US" w:eastAsia="zh-CN"/>
              </w:rPr>
              <w:t>投资封闭期结束后的每个工作日为申购和赎回开放日，开放时间为每个工作日的9:00至15:00。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57" w:hRule="atLeast"/>
          <w:jc w:val="center"/>
        </w:trPr>
        <w:tc>
          <w:tcPr>
            <w:tcW w:w="2250" w:type="dxa"/>
            <w:tcBorders>
              <w:top w:val="nil"/>
              <w:left w:val="single" w:color="auto" w:sz="8" w:space="0"/>
              <w:bottom w:val="single" w:color="auto" w:sz="8" w:space="0"/>
              <w:right w:val="single" w:color="auto" w:sz="8" w:space="0"/>
            </w:tcBorders>
            <w:tcMar>
              <w:top w:w="45" w:type="dxa"/>
              <w:left w:w="45" w:type="dxa"/>
              <w:bottom w:w="45" w:type="dxa"/>
              <w:right w:w="45" w:type="dxa"/>
            </w:tcMar>
            <w:vAlign w:val="top"/>
          </w:tcPr>
          <w:p>
            <w:pPr>
              <w:widowControl/>
              <w:pBdr>
                <w:top w:val="none" w:color="auto" w:sz="0" w:space="0"/>
                <w:left w:val="none" w:color="auto" w:sz="0" w:space="0"/>
                <w:bottom w:val="none" w:color="auto" w:sz="0" w:space="0"/>
                <w:right w:val="none" w:color="auto" w:sz="0" w:space="0"/>
              </w:pBdr>
              <w:wordWrap/>
              <w:adjustRightInd/>
              <w:snapToGrid/>
              <w:spacing w:beforeAutospacing="0" w:after="0" w:afterAutospacing="0" w:line="240" w:lineRule="auto"/>
              <w:ind w:left="0" w:right="0"/>
              <w:jc w:val="left"/>
              <w:rPr>
                <w:rFonts w:hint="eastAsia" w:ascii="微软雅黑" w:hAnsi="微软雅黑" w:eastAsia="微软雅黑" w:cs="微软雅黑"/>
                <w:color w:val="333333"/>
                <w:sz w:val="21"/>
                <w:szCs w:val="21"/>
              </w:rPr>
            </w:pPr>
            <w:r>
              <w:rPr>
                <w:rFonts w:hint="eastAsia" w:ascii="仿宋" w:hAnsi="仿宋" w:eastAsia="仿宋" w:cs="仿宋"/>
                <w:b/>
                <w:bCs/>
                <w:color w:val="333333"/>
                <w:kern w:val="0"/>
                <w:sz w:val="24"/>
                <w:szCs w:val="24"/>
                <w:lang w:val="en-US" w:eastAsia="zh-CN"/>
              </w:rPr>
              <w:t>申购/赎回确认日</w:t>
            </w:r>
          </w:p>
        </w:tc>
        <w:tc>
          <w:tcPr>
            <w:tcW w:w="6645" w:type="dxa"/>
            <w:tcBorders>
              <w:top w:val="nil"/>
              <w:left w:val="single" w:color="auto" w:sz="8" w:space="0"/>
              <w:bottom w:val="single" w:color="auto" w:sz="8" w:space="0"/>
              <w:right w:val="single" w:color="auto" w:sz="8" w:space="0"/>
            </w:tcBorders>
            <w:tcMar>
              <w:top w:w="45" w:type="dxa"/>
              <w:left w:w="45" w:type="dxa"/>
              <w:bottom w:w="45" w:type="dxa"/>
              <w:right w:w="45" w:type="dxa"/>
            </w:tcMar>
            <w:vAlign w:val="top"/>
          </w:tcPr>
          <w:p>
            <w:pPr>
              <w:widowControl/>
              <w:pBdr>
                <w:top w:val="none" w:color="auto" w:sz="0" w:space="0"/>
                <w:left w:val="none" w:color="auto" w:sz="0" w:space="0"/>
                <w:bottom w:val="none" w:color="auto" w:sz="0" w:space="0"/>
                <w:right w:val="none" w:color="auto" w:sz="0" w:space="0"/>
              </w:pBdr>
              <w:wordWrap/>
              <w:adjustRightInd/>
              <w:snapToGrid/>
              <w:spacing w:beforeAutospacing="0" w:after="0" w:afterAutospacing="0" w:line="240" w:lineRule="auto"/>
              <w:ind w:left="0" w:right="0"/>
              <w:jc w:val="left"/>
              <w:rPr>
                <w:rFonts w:hint="eastAsia" w:ascii="微软雅黑" w:hAnsi="微软雅黑" w:eastAsia="微软雅黑" w:cs="微软雅黑"/>
                <w:color w:val="333333"/>
                <w:sz w:val="24"/>
                <w:szCs w:val="24"/>
              </w:rPr>
            </w:pPr>
            <w:r>
              <w:rPr>
                <w:rFonts w:hint="eastAsia" w:ascii="仿宋" w:hAnsi="仿宋" w:eastAsia="仿宋" w:cs="仿宋"/>
                <w:color w:val="333333"/>
                <w:kern w:val="0"/>
                <w:sz w:val="24"/>
                <w:szCs w:val="24"/>
                <w:lang w:val="en-US" w:eastAsia="zh-CN"/>
              </w:rPr>
              <w:t>开放时间内进行申购/赎回，在申购/赎回申请日（T日）后的第一个开放日（T+1日）进行申购/赎回确认；非开放时间内进行申购/赎回，等同在下一开放时间内的申购/赎回申请。申购确认日即为理财收益计算起始日，赎回申请日即为理财收益计算终止日。</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57" w:hRule="atLeast"/>
          <w:jc w:val="center"/>
        </w:trPr>
        <w:tc>
          <w:tcPr>
            <w:tcW w:w="2250" w:type="dxa"/>
            <w:tcBorders>
              <w:top w:val="nil"/>
              <w:left w:val="single" w:color="auto" w:sz="8" w:space="0"/>
              <w:bottom w:val="single" w:color="auto" w:sz="8" w:space="0"/>
              <w:right w:val="single" w:color="auto" w:sz="8" w:space="0"/>
            </w:tcBorders>
            <w:tcMar>
              <w:top w:w="45" w:type="dxa"/>
              <w:left w:w="45" w:type="dxa"/>
              <w:bottom w:w="45" w:type="dxa"/>
              <w:right w:w="45" w:type="dxa"/>
            </w:tcMar>
            <w:vAlign w:val="top"/>
          </w:tcPr>
          <w:p>
            <w:pPr>
              <w:widowControl/>
              <w:pBdr>
                <w:top w:val="none" w:color="auto" w:sz="0" w:space="0"/>
                <w:left w:val="none" w:color="auto" w:sz="0" w:space="0"/>
                <w:bottom w:val="none" w:color="auto" w:sz="0" w:space="0"/>
                <w:right w:val="none" w:color="auto" w:sz="0" w:space="0"/>
              </w:pBdr>
              <w:wordWrap/>
              <w:adjustRightInd/>
              <w:snapToGrid/>
              <w:spacing w:beforeAutospacing="0" w:after="0" w:afterAutospacing="0" w:line="240" w:lineRule="auto"/>
              <w:ind w:left="0" w:right="0"/>
              <w:jc w:val="left"/>
              <w:rPr>
                <w:rFonts w:hint="eastAsia" w:ascii="微软雅黑" w:hAnsi="微软雅黑" w:eastAsia="微软雅黑" w:cs="微软雅黑"/>
                <w:color w:val="333333"/>
                <w:sz w:val="21"/>
                <w:szCs w:val="21"/>
              </w:rPr>
            </w:pPr>
            <w:r>
              <w:rPr>
                <w:rFonts w:hint="eastAsia" w:ascii="仿宋" w:hAnsi="仿宋" w:eastAsia="仿宋" w:cs="仿宋"/>
                <w:b/>
                <w:bCs/>
                <w:color w:val="333333"/>
                <w:kern w:val="0"/>
                <w:sz w:val="24"/>
                <w:szCs w:val="24"/>
                <w:lang w:val="en-US" w:eastAsia="zh-CN"/>
              </w:rPr>
              <w:t>申购份额计算</w:t>
            </w:r>
          </w:p>
        </w:tc>
        <w:tc>
          <w:tcPr>
            <w:tcW w:w="6645" w:type="dxa"/>
            <w:tcBorders>
              <w:top w:val="nil"/>
              <w:left w:val="single" w:color="auto" w:sz="8" w:space="0"/>
              <w:bottom w:val="single" w:color="auto" w:sz="8" w:space="0"/>
              <w:right w:val="single" w:color="auto" w:sz="8" w:space="0"/>
            </w:tcBorders>
            <w:tcMar>
              <w:top w:w="45" w:type="dxa"/>
              <w:left w:w="45" w:type="dxa"/>
              <w:bottom w:w="45" w:type="dxa"/>
              <w:right w:w="45" w:type="dxa"/>
            </w:tcMar>
            <w:vAlign w:val="top"/>
          </w:tcPr>
          <w:p>
            <w:pPr>
              <w:widowControl/>
              <w:pBdr>
                <w:top w:val="none" w:color="auto" w:sz="0" w:space="0"/>
                <w:left w:val="none" w:color="auto" w:sz="0" w:space="0"/>
                <w:bottom w:val="none" w:color="auto" w:sz="0" w:space="0"/>
                <w:right w:val="none" w:color="auto" w:sz="0" w:space="0"/>
              </w:pBdr>
              <w:wordWrap/>
              <w:adjustRightInd/>
              <w:snapToGrid/>
              <w:spacing w:beforeAutospacing="0" w:after="0" w:afterAutospacing="0" w:line="240" w:lineRule="auto"/>
              <w:ind w:left="0" w:right="0"/>
              <w:jc w:val="left"/>
              <w:rPr>
                <w:rFonts w:hint="eastAsia" w:ascii="微软雅黑" w:hAnsi="微软雅黑" w:eastAsia="微软雅黑" w:cs="微软雅黑"/>
                <w:color w:val="333333"/>
                <w:sz w:val="24"/>
                <w:szCs w:val="24"/>
              </w:rPr>
            </w:pPr>
            <w:r>
              <w:rPr>
                <w:rFonts w:hint="eastAsia" w:ascii="仿宋" w:hAnsi="仿宋" w:eastAsia="仿宋" w:cs="仿宋"/>
                <w:color w:val="333333"/>
                <w:kern w:val="0"/>
                <w:sz w:val="24"/>
                <w:szCs w:val="24"/>
                <w:lang w:val="en-US" w:eastAsia="zh-CN"/>
              </w:rPr>
              <w:t>申购份额=申购金额/申购申请日产品净值，申购份额保留至小数点后2位（四舍五入）。（详见第三条第（三）款）</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57" w:hRule="atLeast"/>
          <w:jc w:val="center"/>
        </w:trPr>
        <w:tc>
          <w:tcPr>
            <w:tcW w:w="2250" w:type="dxa"/>
            <w:tcBorders>
              <w:top w:val="nil"/>
              <w:left w:val="single" w:color="auto" w:sz="8" w:space="0"/>
              <w:bottom w:val="single" w:color="auto" w:sz="8" w:space="0"/>
              <w:right w:val="single" w:color="auto" w:sz="8" w:space="0"/>
            </w:tcBorders>
            <w:tcMar>
              <w:top w:w="45" w:type="dxa"/>
              <w:left w:w="45" w:type="dxa"/>
              <w:bottom w:w="45" w:type="dxa"/>
              <w:right w:w="45" w:type="dxa"/>
            </w:tcMar>
            <w:vAlign w:val="top"/>
          </w:tcPr>
          <w:p>
            <w:pPr>
              <w:widowControl/>
              <w:pBdr>
                <w:top w:val="none" w:color="auto" w:sz="0" w:space="0"/>
                <w:left w:val="none" w:color="auto" w:sz="0" w:space="0"/>
                <w:bottom w:val="none" w:color="auto" w:sz="0" w:space="0"/>
                <w:right w:val="none" w:color="auto" w:sz="0" w:space="0"/>
              </w:pBdr>
              <w:wordWrap/>
              <w:adjustRightInd/>
              <w:snapToGrid/>
              <w:spacing w:beforeAutospacing="0" w:after="0" w:afterAutospacing="0" w:line="240" w:lineRule="auto"/>
              <w:ind w:left="0" w:right="0"/>
              <w:jc w:val="left"/>
              <w:rPr>
                <w:rFonts w:hint="eastAsia" w:ascii="微软雅黑" w:hAnsi="微软雅黑" w:eastAsia="微软雅黑" w:cs="微软雅黑"/>
                <w:color w:val="333333"/>
                <w:sz w:val="21"/>
                <w:szCs w:val="21"/>
              </w:rPr>
            </w:pPr>
            <w:r>
              <w:rPr>
                <w:rFonts w:hint="eastAsia" w:ascii="仿宋" w:hAnsi="仿宋" w:eastAsia="仿宋" w:cs="仿宋"/>
                <w:b/>
                <w:bCs/>
                <w:color w:val="333333"/>
                <w:kern w:val="0"/>
                <w:sz w:val="24"/>
                <w:szCs w:val="24"/>
                <w:lang w:val="en-US" w:eastAsia="zh-CN"/>
              </w:rPr>
              <w:t>赎回金额计算</w:t>
            </w:r>
          </w:p>
        </w:tc>
        <w:tc>
          <w:tcPr>
            <w:tcW w:w="6645" w:type="dxa"/>
            <w:tcBorders>
              <w:top w:val="nil"/>
              <w:left w:val="single" w:color="auto" w:sz="8" w:space="0"/>
              <w:bottom w:val="single" w:color="auto" w:sz="8" w:space="0"/>
              <w:right w:val="single" w:color="auto" w:sz="8" w:space="0"/>
            </w:tcBorders>
            <w:tcMar>
              <w:top w:w="45" w:type="dxa"/>
              <w:left w:w="45" w:type="dxa"/>
              <w:bottom w:w="45" w:type="dxa"/>
              <w:right w:w="45" w:type="dxa"/>
            </w:tcMar>
            <w:vAlign w:val="top"/>
          </w:tcPr>
          <w:p>
            <w:pPr>
              <w:widowControl/>
              <w:pBdr>
                <w:top w:val="none" w:color="auto" w:sz="0" w:space="0"/>
                <w:left w:val="none" w:color="auto" w:sz="0" w:space="0"/>
                <w:bottom w:val="none" w:color="auto" w:sz="0" w:space="0"/>
                <w:right w:val="none" w:color="auto" w:sz="0" w:space="0"/>
              </w:pBdr>
              <w:wordWrap/>
              <w:adjustRightInd/>
              <w:snapToGrid/>
              <w:spacing w:beforeAutospacing="0" w:after="0" w:afterAutospacing="0" w:line="240" w:lineRule="auto"/>
              <w:ind w:left="0" w:right="0"/>
              <w:jc w:val="left"/>
              <w:rPr>
                <w:rFonts w:hint="eastAsia" w:ascii="微软雅黑" w:hAnsi="微软雅黑" w:eastAsia="微软雅黑" w:cs="微软雅黑"/>
                <w:color w:val="333333"/>
                <w:sz w:val="24"/>
                <w:szCs w:val="24"/>
              </w:rPr>
            </w:pPr>
            <w:r>
              <w:rPr>
                <w:rFonts w:hint="eastAsia" w:ascii="仿宋" w:hAnsi="仿宋" w:eastAsia="仿宋" w:cs="仿宋"/>
                <w:color w:val="333333"/>
                <w:kern w:val="0"/>
                <w:sz w:val="24"/>
                <w:szCs w:val="24"/>
                <w:lang w:val="en-US" w:eastAsia="zh-CN"/>
              </w:rPr>
              <w:t>赎回金额=赎回份额×赎回申请日产品净值，赎回金额保留至小数点后2位（四舍五入）。（详见第三条第（四）款）</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57" w:hRule="atLeast"/>
          <w:jc w:val="center"/>
        </w:trPr>
        <w:tc>
          <w:tcPr>
            <w:tcW w:w="2250" w:type="dxa"/>
            <w:tcBorders>
              <w:top w:val="nil"/>
              <w:left w:val="single" w:color="auto" w:sz="8" w:space="0"/>
              <w:bottom w:val="single" w:color="auto" w:sz="8" w:space="0"/>
              <w:right w:val="single" w:color="auto" w:sz="8" w:space="0"/>
            </w:tcBorders>
            <w:tcMar>
              <w:top w:w="45" w:type="dxa"/>
              <w:left w:w="45" w:type="dxa"/>
              <w:bottom w:w="45" w:type="dxa"/>
              <w:right w:w="45" w:type="dxa"/>
            </w:tcMar>
            <w:vAlign w:val="top"/>
          </w:tcPr>
          <w:p>
            <w:pPr>
              <w:widowControl/>
              <w:pBdr>
                <w:top w:val="none" w:color="auto" w:sz="0" w:space="0"/>
                <w:left w:val="none" w:color="auto" w:sz="0" w:space="0"/>
                <w:bottom w:val="none" w:color="auto" w:sz="0" w:space="0"/>
                <w:right w:val="none" w:color="auto" w:sz="0" w:space="0"/>
              </w:pBdr>
              <w:wordWrap/>
              <w:adjustRightInd/>
              <w:snapToGrid/>
              <w:spacing w:beforeAutospacing="0" w:after="0" w:afterAutospacing="0" w:line="240" w:lineRule="auto"/>
              <w:ind w:left="0" w:right="0"/>
              <w:jc w:val="left"/>
              <w:rPr>
                <w:rFonts w:hint="eastAsia" w:ascii="微软雅黑" w:hAnsi="微软雅黑" w:eastAsia="微软雅黑" w:cs="微软雅黑"/>
                <w:color w:val="333333"/>
                <w:sz w:val="21"/>
                <w:szCs w:val="21"/>
              </w:rPr>
            </w:pPr>
            <w:r>
              <w:rPr>
                <w:rFonts w:hint="eastAsia" w:ascii="仿宋" w:hAnsi="仿宋" w:eastAsia="仿宋" w:cs="仿宋"/>
                <w:b/>
                <w:bCs/>
                <w:color w:val="333333"/>
                <w:kern w:val="0"/>
                <w:sz w:val="24"/>
                <w:szCs w:val="24"/>
                <w:lang w:val="en-US" w:eastAsia="zh-CN"/>
              </w:rPr>
              <w:t>追加申购最低金额</w:t>
            </w:r>
          </w:p>
        </w:tc>
        <w:tc>
          <w:tcPr>
            <w:tcW w:w="6645" w:type="dxa"/>
            <w:tcBorders>
              <w:top w:val="nil"/>
              <w:left w:val="single" w:color="auto" w:sz="8" w:space="0"/>
              <w:bottom w:val="single" w:color="auto" w:sz="8" w:space="0"/>
              <w:right w:val="single" w:color="auto" w:sz="8" w:space="0"/>
            </w:tcBorders>
            <w:tcMar>
              <w:top w:w="45" w:type="dxa"/>
              <w:left w:w="45" w:type="dxa"/>
              <w:bottom w:w="45" w:type="dxa"/>
              <w:right w:w="45" w:type="dxa"/>
            </w:tcMar>
            <w:vAlign w:val="top"/>
          </w:tcPr>
          <w:p>
            <w:pPr>
              <w:widowControl/>
              <w:pBdr>
                <w:top w:val="none" w:color="auto" w:sz="0" w:space="0"/>
                <w:left w:val="none" w:color="auto" w:sz="0" w:space="0"/>
                <w:bottom w:val="none" w:color="auto" w:sz="0" w:space="0"/>
                <w:right w:val="none" w:color="auto" w:sz="0" w:space="0"/>
              </w:pBdr>
              <w:wordWrap/>
              <w:adjustRightInd/>
              <w:snapToGrid/>
              <w:spacing w:beforeAutospacing="0" w:after="0" w:afterAutospacing="0" w:line="240" w:lineRule="auto"/>
              <w:ind w:left="0" w:right="0"/>
              <w:jc w:val="left"/>
              <w:rPr>
                <w:rFonts w:hint="eastAsia" w:ascii="微软雅黑" w:hAnsi="微软雅黑" w:eastAsia="微软雅黑" w:cs="微软雅黑"/>
                <w:color w:val="333333"/>
                <w:sz w:val="24"/>
                <w:szCs w:val="24"/>
              </w:rPr>
            </w:pPr>
            <w:r>
              <w:rPr>
                <w:rFonts w:hint="eastAsia" w:ascii="仿宋" w:hAnsi="仿宋" w:eastAsia="仿宋" w:cs="仿宋"/>
                <w:color w:val="333333"/>
                <w:kern w:val="0"/>
                <w:sz w:val="24"/>
                <w:szCs w:val="24"/>
                <w:lang w:val="en-US" w:eastAsia="zh-CN"/>
              </w:rPr>
              <w:t>个人投资者首次申购金额为1万元，以1元整数倍追加。</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57" w:hRule="atLeast"/>
          <w:jc w:val="center"/>
        </w:trPr>
        <w:tc>
          <w:tcPr>
            <w:tcW w:w="2250" w:type="dxa"/>
            <w:tcBorders>
              <w:top w:val="nil"/>
              <w:left w:val="single" w:color="auto" w:sz="8" w:space="0"/>
              <w:bottom w:val="single" w:color="auto" w:sz="8" w:space="0"/>
              <w:right w:val="single" w:color="auto" w:sz="8" w:space="0"/>
            </w:tcBorders>
            <w:tcMar>
              <w:top w:w="45" w:type="dxa"/>
              <w:left w:w="45" w:type="dxa"/>
              <w:bottom w:w="45" w:type="dxa"/>
              <w:right w:w="45" w:type="dxa"/>
            </w:tcMar>
            <w:vAlign w:val="top"/>
          </w:tcPr>
          <w:p>
            <w:pPr>
              <w:widowControl/>
              <w:pBdr>
                <w:top w:val="none" w:color="auto" w:sz="0" w:space="0"/>
                <w:left w:val="none" w:color="auto" w:sz="0" w:space="0"/>
                <w:bottom w:val="none" w:color="auto" w:sz="0" w:space="0"/>
                <w:right w:val="none" w:color="auto" w:sz="0" w:space="0"/>
              </w:pBdr>
              <w:wordWrap/>
              <w:adjustRightInd/>
              <w:snapToGrid/>
              <w:spacing w:beforeAutospacing="0" w:after="0" w:afterAutospacing="0" w:line="240" w:lineRule="auto"/>
              <w:ind w:left="0" w:right="0"/>
              <w:jc w:val="left"/>
              <w:rPr>
                <w:rFonts w:hint="eastAsia" w:ascii="微软雅黑" w:hAnsi="微软雅黑" w:eastAsia="微软雅黑" w:cs="微软雅黑"/>
                <w:color w:val="333333"/>
                <w:sz w:val="21"/>
                <w:szCs w:val="21"/>
              </w:rPr>
            </w:pPr>
            <w:r>
              <w:rPr>
                <w:rFonts w:hint="eastAsia" w:ascii="仿宋" w:hAnsi="仿宋" w:eastAsia="仿宋" w:cs="仿宋"/>
                <w:b/>
                <w:bCs/>
                <w:color w:val="333333"/>
                <w:kern w:val="0"/>
                <w:sz w:val="24"/>
                <w:szCs w:val="24"/>
                <w:lang w:val="en-US" w:eastAsia="zh-CN"/>
              </w:rPr>
              <w:t>单笔赎回最低份额</w:t>
            </w:r>
          </w:p>
        </w:tc>
        <w:tc>
          <w:tcPr>
            <w:tcW w:w="6645" w:type="dxa"/>
            <w:tcBorders>
              <w:top w:val="nil"/>
              <w:left w:val="single" w:color="auto" w:sz="8" w:space="0"/>
              <w:bottom w:val="single" w:color="auto" w:sz="8" w:space="0"/>
              <w:right w:val="single" w:color="auto" w:sz="8" w:space="0"/>
            </w:tcBorders>
            <w:tcMar>
              <w:top w:w="45" w:type="dxa"/>
              <w:left w:w="45" w:type="dxa"/>
              <w:bottom w:w="45" w:type="dxa"/>
              <w:right w:w="45" w:type="dxa"/>
            </w:tcMar>
            <w:vAlign w:val="top"/>
          </w:tcPr>
          <w:p>
            <w:pPr>
              <w:widowControl/>
              <w:pBdr>
                <w:top w:val="none" w:color="auto" w:sz="0" w:space="0"/>
                <w:left w:val="none" w:color="auto" w:sz="0" w:space="0"/>
                <w:bottom w:val="none" w:color="auto" w:sz="0" w:space="0"/>
                <w:right w:val="none" w:color="auto" w:sz="0" w:space="0"/>
              </w:pBdr>
              <w:wordWrap/>
              <w:adjustRightInd/>
              <w:snapToGrid/>
              <w:spacing w:beforeAutospacing="0" w:after="0" w:afterAutospacing="0" w:line="240" w:lineRule="auto"/>
              <w:ind w:left="0" w:right="0"/>
              <w:jc w:val="left"/>
              <w:rPr>
                <w:rFonts w:hint="eastAsia" w:ascii="微软雅黑" w:hAnsi="微软雅黑" w:eastAsia="微软雅黑" w:cs="微软雅黑"/>
                <w:color w:val="333333"/>
                <w:sz w:val="24"/>
                <w:szCs w:val="24"/>
              </w:rPr>
            </w:pPr>
            <w:r>
              <w:rPr>
                <w:rFonts w:hint="eastAsia" w:ascii="仿宋" w:hAnsi="仿宋" w:eastAsia="仿宋" w:cs="仿宋"/>
                <w:color w:val="333333"/>
                <w:kern w:val="0"/>
                <w:sz w:val="24"/>
                <w:szCs w:val="24"/>
                <w:lang w:val="en-US" w:eastAsia="zh-CN"/>
              </w:rPr>
              <w:t>0.1万份。如申请部分赎回，当留存份额低于0.1万份时，投资者应当全部赎回。长沙农商银行保留调整单笔赎回最低份额权利，如后续对该最低赎回份额进行调整，长沙农商银行将在规定时间内于官网进行公告，并承诺该调整不会损害投资者利益。</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57" w:hRule="atLeast"/>
          <w:jc w:val="center"/>
        </w:trPr>
        <w:tc>
          <w:tcPr>
            <w:tcW w:w="2250" w:type="dxa"/>
            <w:tcBorders>
              <w:top w:val="nil"/>
              <w:left w:val="single" w:color="auto" w:sz="8" w:space="0"/>
              <w:bottom w:val="single" w:color="auto" w:sz="8" w:space="0"/>
              <w:right w:val="single" w:color="auto" w:sz="8" w:space="0"/>
            </w:tcBorders>
            <w:tcMar>
              <w:top w:w="45" w:type="dxa"/>
              <w:left w:w="45" w:type="dxa"/>
              <w:bottom w:w="45" w:type="dxa"/>
              <w:right w:w="45" w:type="dxa"/>
            </w:tcMar>
            <w:vAlign w:val="top"/>
          </w:tcPr>
          <w:p>
            <w:pPr>
              <w:widowControl/>
              <w:pBdr>
                <w:top w:val="none" w:color="auto" w:sz="0" w:space="0"/>
                <w:left w:val="none" w:color="auto" w:sz="0" w:space="0"/>
                <w:bottom w:val="none" w:color="auto" w:sz="0" w:space="0"/>
                <w:right w:val="none" w:color="auto" w:sz="0" w:space="0"/>
              </w:pBdr>
              <w:wordWrap/>
              <w:adjustRightInd/>
              <w:snapToGrid/>
              <w:spacing w:beforeAutospacing="0" w:after="0" w:afterAutospacing="0" w:line="240" w:lineRule="auto"/>
              <w:ind w:left="0" w:right="0"/>
              <w:jc w:val="left"/>
              <w:rPr>
                <w:rFonts w:hint="default" w:ascii="微软雅黑" w:hAnsi="微软雅黑" w:eastAsia="微软雅黑" w:cs="微软雅黑"/>
                <w:color w:val="333333"/>
                <w:sz w:val="21"/>
                <w:szCs w:val="21"/>
                <w:lang w:val="en-US"/>
              </w:rPr>
            </w:pPr>
            <w:r>
              <w:rPr>
                <w:rFonts w:hint="eastAsia" w:ascii="仿宋" w:hAnsi="仿宋" w:eastAsia="仿宋" w:cs="仿宋"/>
                <w:b/>
                <w:bCs/>
                <w:color w:val="333333"/>
                <w:kern w:val="0"/>
                <w:sz w:val="24"/>
                <w:szCs w:val="24"/>
                <w:lang w:val="en-US" w:eastAsia="zh-CN"/>
              </w:rPr>
              <w:t>赎回到账时间</w:t>
            </w:r>
          </w:p>
        </w:tc>
        <w:tc>
          <w:tcPr>
            <w:tcW w:w="6645" w:type="dxa"/>
            <w:tcBorders>
              <w:top w:val="nil"/>
              <w:left w:val="single" w:color="auto" w:sz="8" w:space="0"/>
              <w:bottom w:val="single" w:color="auto" w:sz="8" w:space="0"/>
              <w:right w:val="single" w:color="auto" w:sz="8" w:space="0"/>
            </w:tcBorders>
            <w:tcMar>
              <w:top w:w="45" w:type="dxa"/>
              <w:left w:w="45" w:type="dxa"/>
              <w:bottom w:w="45" w:type="dxa"/>
              <w:right w:w="45" w:type="dxa"/>
            </w:tcMar>
            <w:vAlign w:val="top"/>
          </w:tcPr>
          <w:p>
            <w:pPr>
              <w:widowControl/>
              <w:pBdr>
                <w:top w:val="none" w:color="auto" w:sz="0" w:space="0"/>
                <w:left w:val="none" w:color="auto" w:sz="0" w:space="0"/>
                <w:bottom w:val="none" w:color="auto" w:sz="0" w:space="0"/>
                <w:right w:val="none" w:color="auto" w:sz="0" w:space="0"/>
              </w:pBdr>
              <w:wordWrap/>
              <w:adjustRightInd/>
              <w:snapToGrid/>
              <w:spacing w:beforeAutospacing="0" w:after="0" w:afterAutospacing="0" w:line="240" w:lineRule="auto"/>
              <w:ind w:left="0" w:right="0"/>
              <w:jc w:val="left"/>
              <w:rPr>
                <w:rFonts w:hint="eastAsia" w:ascii="微软雅黑" w:hAnsi="微软雅黑" w:eastAsia="微软雅黑" w:cs="微软雅黑"/>
                <w:color w:val="333333"/>
                <w:sz w:val="24"/>
                <w:szCs w:val="24"/>
              </w:rPr>
            </w:pPr>
            <w:r>
              <w:rPr>
                <w:rFonts w:hint="eastAsia" w:ascii="仿宋" w:hAnsi="仿宋" w:eastAsia="仿宋" w:cs="仿宋"/>
                <w:color w:val="333333"/>
                <w:kern w:val="0"/>
                <w:sz w:val="24"/>
                <w:szCs w:val="24"/>
                <w:lang w:val="en-US" w:eastAsia="zh-CN"/>
              </w:rPr>
              <w:t>长沙农商银行在产品赎回确认日后2个工作日内将投资者应得的赎回资金划转到投资者指定账户，逢中国（除港澳台地区）法定节假日顺延。</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57" w:hRule="atLeast"/>
          <w:jc w:val="center"/>
        </w:trPr>
        <w:tc>
          <w:tcPr>
            <w:tcW w:w="2250" w:type="dxa"/>
            <w:tcBorders>
              <w:top w:val="nil"/>
              <w:left w:val="single" w:color="auto" w:sz="8" w:space="0"/>
              <w:bottom w:val="single" w:color="auto" w:sz="8" w:space="0"/>
              <w:right w:val="single" w:color="auto" w:sz="8" w:space="0"/>
            </w:tcBorders>
            <w:tcMar>
              <w:top w:w="45" w:type="dxa"/>
              <w:left w:w="45" w:type="dxa"/>
              <w:bottom w:w="45" w:type="dxa"/>
              <w:right w:w="45" w:type="dxa"/>
            </w:tcMar>
            <w:vAlign w:val="top"/>
          </w:tcPr>
          <w:p>
            <w:pPr>
              <w:widowControl/>
              <w:pBdr>
                <w:top w:val="none" w:color="auto" w:sz="0" w:space="0"/>
                <w:left w:val="none" w:color="auto" w:sz="0" w:space="0"/>
                <w:bottom w:val="none" w:color="auto" w:sz="0" w:space="0"/>
                <w:right w:val="none" w:color="auto" w:sz="0" w:space="0"/>
              </w:pBdr>
              <w:wordWrap/>
              <w:adjustRightInd/>
              <w:snapToGrid/>
              <w:spacing w:beforeAutospacing="0" w:after="0" w:afterAutospacing="0" w:line="240" w:lineRule="auto"/>
              <w:ind w:left="0" w:right="0"/>
              <w:jc w:val="left"/>
              <w:rPr>
                <w:rFonts w:hint="eastAsia" w:ascii="微软雅黑" w:hAnsi="微软雅黑" w:eastAsia="微软雅黑" w:cs="微软雅黑"/>
                <w:color w:val="333333"/>
                <w:sz w:val="21"/>
                <w:szCs w:val="21"/>
              </w:rPr>
            </w:pPr>
            <w:r>
              <w:rPr>
                <w:rFonts w:hint="eastAsia" w:ascii="仿宋" w:hAnsi="仿宋" w:eastAsia="仿宋" w:cs="仿宋"/>
                <w:b/>
                <w:bCs/>
                <w:color w:val="333333"/>
                <w:kern w:val="0"/>
                <w:sz w:val="24"/>
                <w:szCs w:val="24"/>
                <w:lang w:val="en-US" w:eastAsia="zh-CN"/>
              </w:rPr>
              <w:t>产品净值</w:t>
            </w:r>
          </w:p>
        </w:tc>
        <w:tc>
          <w:tcPr>
            <w:tcW w:w="6645" w:type="dxa"/>
            <w:tcBorders>
              <w:top w:val="nil"/>
              <w:left w:val="single" w:color="auto" w:sz="8" w:space="0"/>
              <w:bottom w:val="single" w:color="auto" w:sz="8" w:space="0"/>
              <w:right w:val="single" w:color="auto" w:sz="8" w:space="0"/>
            </w:tcBorders>
            <w:tcMar>
              <w:top w:w="45" w:type="dxa"/>
              <w:left w:w="45" w:type="dxa"/>
              <w:bottom w:w="45" w:type="dxa"/>
              <w:right w:w="45" w:type="dxa"/>
            </w:tcMar>
            <w:vAlign w:val="top"/>
          </w:tcPr>
          <w:p>
            <w:pPr>
              <w:widowControl/>
              <w:pBdr>
                <w:top w:val="none" w:color="auto" w:sz="0" w:space="0"/>
                <w:left w:val="none" w:color="auto" w:sz="0" w:space="0"/>
                <w:bottom w:val="none" w:color="auto" w:sz="0" w:space="0"/>
                <w:right w:val="none" w:color="auto" w:sz="0" w:space="0"/>
              </w:pBdr>
              <w:wordWrap/>
              <w:adjustRightInd/>
              <w:snapToGrid/>
              <w:spacing w:beforeAutospacing="0" w:after="0" w:afterAutospacing="0" w:line="240" w:lineRule="auto"/>
              <w:ind w:left="0" w:right="0"/>
              <w:jc w:val="left"/>
              <w:rPr>
                <w:rFonts w:hint="eastAsia" w:ascii="微软雅黑" w:hAnsi="微软雅黑" w:eastAsia="微软雅黑" w:cs="微软雅黑"/>
                <w:color w:val="333333"/>
                <w:sz w:val="24"/>
                <w:szCs w:val="24"/>
              </w:rPr>
            </w:pPr>
            <w:r>
              <w:rPr>
                <w:rFonts w:hint="eastAsia" w:ascii="仿宋" w:hAnsi="仿宋" w:eastAsia="仿宋" w:cs="仿宋"/>
                <w:color w:val="333333"/>
                <w:kern w:val="0"/>
                <w:sz w:val="24"/>
                <w:szCs w:val="24"/>
                <w:lang w:val="en-US" w:eastAsia="zh-CN"/>
              </w:rPr>
              <w:t>每份产品认购期间初始单位净值为1，产品成立后本行在每个工作日（T日）计算产品净值，并于该工作日后的第一个工作日（T+1日）通过长沙农商银行网站公布产品净值（如遇节假日，则进行顺延）。产品净值保留至小数点后6位（四舍五入）。</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599" w:hRule="atLeast"/>
          <w:jc w:val="center"/>
        </w:trPr>
        <w:tc>
          <w:tcPr>
            <w:tcW w:w="2250" w:type="dxa"/>
            <w:tcBorders>
              <w:top w:val="nil"/>
              <w:left w:val="single" w:color="auto" w:sz="8" w:space="0"/>
              <w:bottom w:val="single" w:color="auto" w:sz="8" w:space="0"/>
              <w:right w:val="single" w:color="auto" w:sz="8" w:space="0"/>
            </w:tcBorders>
            <w:tcMar>
              <w:top w:w="45" w:type="dxa"/>
              <w:left w:w="45" w:type="dxa"/>
              <w:bottom w:w="45" w:type="dxa"/>
              <w:right w:w="45" w:type="dxa"/>
            </w:tcMar>
            <w:vAlign w:val="top"/>
          </w:tcPr>
          <w:p>
            <w:pPr>
              <w:widowControl/>
              <w:pBdr>
                <w:top w:val="none" w:color="auto" w:sz="0" w:space="0"/>
                <w:left w:val="none" w:color="auto" w:sz="0" w:space="0"/>
                <w:bottom w:val="none" w:color="auto" w:sz="0" w:space="0"/>
                <w:right w:val="none" w:color="auto" w:sz="0" w:space="0"/>
              </w:pBdr>
              <w:wordWrap/>
              <w:adjustRightInd/>
              <w:snapToGrid/>
              <w:spacing w:beforeAutospacing="0" w:after="0" w:afterAutospacing="0" w:line="240" w:lineRule="auto"/>
              <w:ind w:left="0" w:right="0"/>
              <w:jc w:val="left"/>
              <w:rPr>
                <w:rFonts w:hint="eastAsia" w:ascii="微软雅黑" w:hAnsi="微软雅黑" w:eastAsia="微软雅黑" w:cs="微软雅黑"/>
                <w:color w:val="333333"/>
                <w:sz w:val="21"/>
                <w:szCs w:val="21"/>
              </w:rPr>
            </w:pPr>
            <w:r>
              <w:rPr>
                <w:rFonts w:hint="eastAsia" w:ascii="仿宋" w:hAnsi="仿宋" w:eastAsia="仿宋" w:cs="仿宋"/>
                <w:b/>
                <w:bCs/>
                <w:color w:val="333333"/>
                <w:kern w:val="0"/>
                <w:sz w:val="24"/>
                <w:szCs w:val="24"/>
                <w:lang w:val="en-US" w:eastAsia="zh-CN"/>
              </w:rPr>
              <w:t>提前终止</w:t>
            </w:r>
          </w:p>
        </w:tc>
        <w:tc>
          <w:tcPr>
            <w:tcW w:w="6645" w:type="dxa"/>
            <w:tcBorders>
              <w:top w:val="nil"/>
              <w:left w:val="single" w:color="auto" w:sz="8" w:space="0"/>
              <w:bottom w:val="single" w:color="auto" w:sz="8" w:space="0"/>
              <w:right w:val="single" w:color="auto" w:sz="8" w:space="0"/>
            </w:tcBorders>
            <w:tcMar>
              <w:top w:w="45" w:type="dxa"/>
              <w:left w:w="45" w:type="dxa"/>
              <w:bottom w:w="45" w:type="dxa"/>
              <w:right w:w="45" w:type="dxa"/>
            </w:tcMar>
            <w:vAlign w:val="top"/>
          </w:tcPr>
          <w:p>
            <w:pPr>
              <w:widowControl/>
              <w:pBdr>
                <w:top w:val="none" w:color="auto" w:sz="0" w:space="0"/>
                <w:left w:val="none" w:color="auto" w:sz="0" w:space="0"/>
                <w:bottom w:val="none" w:color="auto" w:sz="0" w:space="0"/>
                <w:right w:val="none" w:color="auto" w:sz="0" w:space="0"/>
              </w:pBdr>
              <w:wordWrap/>
              <w:adjustRightInd/>
              <w:snapToGrid/>
              <w:spacing w:beforeAutospacing="0" w:after="0" w:afterAutospacing="0" w:line="240" w:lineRule="auto"/>
              <w:ind w:left="0" w:right="0"/>
              <w:jc w:val="left"/>
              <w:rPr>
                <w:rFonts w:hint="eastAsia" w:ascii="微软雅黑" w:hAnsi="微软雅黑" w:eastAsia="微软雅黑" w:cs="微软雅黑"/>
                <w:color w:val="333333"/>
                <w:sz w:val="24"/>
                <w:szCs w:val="24"/>
              </w:rPr>
            </w:pPr>
            <w:r>
              <w:rPr>
                <w:rFonts w:hint="eastAsia" w:ascii="仿宋" w:hAnsi="仿宋" w:eastAsia="仿宋" w:cs="仿宋"/>
                <w:b/>
                <w:bCs/>
                <w:color w:val="333333"/>
                <w:kern w:val="0"/>
                <w:sz w:val="24"/>
                <w:szCs w:val="24"/>
                <w:lang w:val="en-US" w:eastAsia="zh-CN"/>
              </w:rPr>
              <w:t>本理财产品有可能提前终止，若本行行使提前终止权，该产品实际到期日则为提前终止日。（详见第三条第（六）款）</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275" w:hRule="atLeast"/>
          <w:jc w:val="center"/>
        </w:trPr>
        <w:tc>
          <w:tcPr>
            <w:tcW w:w="2250" w:type="dxa"/>
            <w:tcBorders>
              <w:top w:val="nil"/>
              <w:left w:val="single" w:color="auto" w:sz="8" w:space="0"/>
              <w:bottom w:val="single" w:color="auto" w:sz="8" w:space="0"/>
              <w:right w:val="single" w:color="auto" w:sz="8" w:space="0"/>
            </w:tcBorders>
            <w:tcMar>
              <w:top w:w="45" w:type="dxa"/>
              <w:left w:w="45" w:type="dxa"/>
              <w:bottom w:w="45" w:type="dxa"/>
              <w:right w:w="45" w:type="dxa"/>
            </w:tcMar>
            <w:vAlign w:val="center"/>
          </w:tcPr>
          <w:p>
            <w:pPr>
              <w:widowControl/>
              <w:pBdr>
                <w:top w:val="none" w:color="auto" w:sz="0" w:space="0"/>
                <w:left w:val="none" w:color="auto" w:sz="0" w:space="0"/>
                <w:bottom w:val="none" w:color="auto" w:sz="0" w:space="0"/>
                <w:right w:val="none" w:color="auto" w:sz="0" w:space="0"/>
              </w:pBdr>
              <w:wordWrap/>
              <w:adjustRightInd/>
              <w:snapToGrid/>
              <w:spacing w:beforeAutospacing="0" w:after="0" w:afterAutospacing="0" w:line="240" w:lineRule="auto"/>
              <w:ind w:left="0" w:right="0"/>
              <w:jc w:val="left"/>
              <w:rPr>
                <w:rFonts w:hint="eastAsia" w:ascii="微软雅黑" w:hAnsi="微软雅黑" w:eastAsia="微软雅黑" w:cs="微软雅黑"/>
                <w:color w:val="333333"/>
                <w:sz w:val="21"/>
                <w:szCs w:val="21"/>
              </w:rPr>
            </w:pPr>
            <w:r>
              <w:rPr>
                <w:rFonts w:hint="eastAsia" w:ascii="仿宋" w:hAnsi="仿宋" w:eastAsia="仿宋" w:cs="仿宋"/>
                <w:b/>
                <w:bCs/>
                <w:color w:val="333333"/>
                <w:kern w:val="0"/>
                <w:sz w:val="24"/>
                <w:szCs w:val="24"/>
                <w:lang w:val="en-US" w:eastAsia="zh-CN"/>
              </w:rPr>
              <w:t>工作日</w:t>
            </w:r>
          </w:p>
        </w:tc>
        <w:tc>
          <w:tcPr>
            <w:tcW w:w="6645" w:type="dxa"/>
            <w:tcBorders>
              <w:top w:val="nil"/>
              <w:left w:val="single" w:color="auto" w:sz="8" w:space="0"/>
              <w:bottom w:val="single" w:color="auto" w:sz="8" w:space="0"/>
              <w:right w:val="single" w:color="auto" w:sz="8" w:space="0"/>
            </w:tcBorders>
            <w:tcMar>
              <w:top w:w="45" w:type="dxa"/>
              <w:left w:w="45" w:type="dxa"/>
              <w:bottom w:w="45" w:type="dxa"/>
              <w:right w:w="45" w:type="dxa"/>
            </w:tcMar>
            <w:vAlign w:val="center"/>
          </w:tcPr>
          <w:p>
            <w:pPr>
              <w:widowControl/>
              <w:pBdr>
                <w:top w:val="none" w:color="auto" w:sz="0" w:space="0"/>
                <w:left w:val="none" w:color="auto" w:sz="0" w:space="0"/>
                <w:bottom w:val="none" w:color="auto" w:sz="0" w:space="0"/>
                <w:right w:val="none" w:color="auto" w:sz="0" w:space="0"/>
              </w:pBdr>
              <w:wordWrap/>
              <w:adjustRightInd/>
              <w:snapToGrid/>
              <w:spacing w:beforeAutospacing="0" w:after="0" w:afterAutospacing="0" w:line="240" w:lineRule="auto"/>
              <w:ind w:left="0" w:right="0"/>
              <w:jc w:val="left"/>
              <w:rPr>
                <w:rFonts w:hint="eastAsia" w:ascii="微软雅黑" w:hAnsi="微软雅黑" w:eastAsia="微软雅黑" w:cs="微软雅黑"/>
                <w:color w:val="333333"/>
                <w:sz w:val="24"/>
                <w:szCs w:val="24"/>
              </w:rPr>
            </w:pPr>
            <w:r>
              <w:rPr>
                <w:rFonts w:hint="eastAsia" w:ascii="仿宋" w:hAnsi="仿宋" w:eastAsia="仿宋" w:cs="仿宋"/>
                <w:color w:val="333333"/>
                <w:kern w:val="0"/>
                <w:sz w:val="24"/>
                <w:szCs w:val="24"/>
                <w:lang w:val="en-US" w:eastAsia="zh-CN"/>
              </w:rPr>
              <w:t>除法定节假日和休息日（以国务院公布为准）以外的中国的银行工作日。</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970" w:hRule="atLeast"/>
          <w:jc w:val="center"/>
        </w:trPr>
        <w:tc>
          <w:tcPr>
            <w:tcW w:w="2250" w:type="dxa"/>
            <w:tcBorders>
              <w:top w:val="nil"/>
              <w:left w:val="single" w:color="auto" w:sz="8" w:space="0"/>
              <w:bottom w:val="single" w:color="auto" w:sz="8" w:space="0"/>
              <w:right w:val="single" w:color="auto" w:sz="8" w:space="0"/>
            </w:tcBorders>
            <w:tcMar>
              <w:top w:w="45" w:type="dxa"/>
              <w:left w:w="45" w:type="dxa"/>
              <w:bottom w:w="45" w:type="dxa"/>
              <w:right w:w="45" w:type="dxa"/>
            </w:tcMar>
            <w:vAlign w:val="top"/>
          </w:tcPr>
          <w:p>
            <w:pPr>
              <w:widowControl/>
              <w:pBdr>
                <w:top w:val="none" w:color="auto" w:sz="0" w:space="0"/>
                <w:left w:val="none" w:color="auto" w:sz="0" w:space="0"/>
                <w:bottom w:val="none" w:color="auto" w:sz="0" w:space="0"/>
                <w:right w:val="none" w:color="auto" w:sz="0" w:space="0"/>
              </w:pBdr>
              <w:wordWrap/>
              <w:adjustRightInd/>
              <w:snapToGrid/>
              <w:spacing w:beforeAutospacing="0" w:after="0" w:afterAutospacing="0" w:line="240" w:lineRule="auto"/>
              <w:ind w:left="0" w:right="0"/>
              <w:jc w:val="left"/>
              <w:rPr>
                <w:rFonts w:hint="eastAsia" w:ascii="微软雅黑" w:hAnsi="微软雅黑" w:eastAsia="微软雅黑" w:cs="微软雅黑"/>
                <w:color w:val="333333"/>
                <w:sz w:val="21"/>
                <w:szCs w:val="21"/>
              </w:rPr>
            </w:pPr>
            <w:r>
              <w:rPr>
                <w:rFonts w:hint="eastAsia" w:ascii="仿宋" w:hAnsi="仿宋" w:eastAsia="仿宋" w:cs="仿宋"/>
                <w:b/>
                <w:bCs/>
                <w:color w:val="333333"/>
                <w:kern w:val="0"/>
                <w:sz w:val="24"/>
                <w:szCs w:val="24"/>
                <w:lang w:val="en-US" w:eastAsia="zh-CN"/>
              </w:rPr>
              <w:t>业绩比较基准</w:t>
            </w:r>
          </w:p>
        </w:tc>
        <w:tc>
          <w:tcPr>
            <w:tcW w:w="6645" w:type="dxa"/>
            <w:tcBorders>
              <w:top w:val="nil"/>
              <w:left w:val="single" w:color="auto" w:sz="8" w:space="0"/>
              <w:bottom w:val="single" w:color="auto" w:sz="8" w:space="0"/>
              <w:right w:val="single" w:color="auto" w:sz="8" w:space="0"/>
            </w:tcBorders>
            <w:tcMar>
              <w:top w:w="45" w:type="dxa"/>
              <w:left w:w="45" w:type="dxa"/>
              <w:bottom w:w="45" w:type="dxa"/>
              <w:right w:w="45" w:type="dxa"/>
            </w:tcMar>
            <w:vAlign w:val="top"/>
          </w:tcPr>
          <w:p>
            <w:pPr>
              <w:widowControl/>
              <w:pBdr>
                <w:top w:val="none" w:color="auto" w:sz="0" w:space="0"/>
                <w:left w:val="none" w:color="auto" w:sz="0" w:space="0"/>
                <w:bottom w:val="none" w:color="auto" w:sz="0" w:space="0"/>
                <w:right w:val="none" w:color="auto" w:sz="0" w:space="0"/>
              </w:pBdr>
              <w:wordWrap/>
              <w:adjustRightInd/>
              <w:snapToGrid/>
              <w:spacing w:beforeAutospacing="0" w:after="0" w:afterAutospacing="0" w:line="240" w:lineRule="auto"/>
              <w:ind w:left="0" w:right="0"/>
              <w:jc w:val="left"/>
              <w:rPr>
                <w:rFonts w:hint="eastAsia" w:ascii="微软雅黑" w:hAnsi="微软雅黑" w:eastAsia="微软雅黑" w:cs="微软雅黑"/>
                <w:color w:val="auto"/>
                <w:sz w:val="24"/>
                <w:szCs w:val="24"/>
              </w:rPr>
            </w:pPr>
            <w:r>
              <w:rPr>
                <w:rFonts w:hint="eastAsia" w:ascii="仿宋" w:hAnsi="仿宋" w:eastAsia="仿宋" w:cs="仿宋"/>
                <w:color w:val="auto"/>
                <w:kern w:val="0"/>
                <w:sz w:val="24"/>
                <w:szCs w:val="24"/>
                <w:lang w:val="en-US" w:eastAsia="zh-CN"/>
              </w:rPr>
              <w:t>本产品业绩比较基准下限为中国人民银行公布的一年期定期存款利率+50BP，上限为中国人民银行公布的一年期定期存款利率+150BP。</w:t>
            </w:r>
          </w:p>
          <w:p>
            <w:pPr>
              <w:widowControl/>
              <w:pBdr>
                <w:top w:val="none" w:color="auto" w:sz="0" w:space="0"/>
                <w:left w:val="none" w:color="auto" w:sz="0" w:space="0"/>
                <w:bottom w:val="none" w:color="auto" w:sz="0" w:space="0"/>
                <w:right w:val="none" w:color="auto" w:sz="0" w:space="0"/>
              </w:pBdr>
              <w:wordWrap/>
              <w:adjustRightInd/>
              <w:snapToGrid/>
              <w:spacing w:beforeAutospacing="0" w:after="0" w:afterAutospacing="0" w:line="240" w:lineRule="auto"/>
              <w:ind w:left="0" w:right="0"/>
              <w:jc w:val="left"/>
              <w:rPr>
                <w:rFonts w:hint="eastAsia" w:ascii="微软雅黑" w:hAnsi="微软雅黑" w:eastAsia="微软雅黑" w:cs="微软雅黑"/>
                <w:color w:val="333333"/>
                <w:sz w:val="24"/>
                <w:szCs w:val="24"/>
              </w:rPr>
            </w:pPr>
            <w:r>
              <w:rPr>
                <w:rFonts w:hint="eastAsia" w:ascii="仿宋" w:hAnsi="仿宋" w:eastAsia="仿宋" w:cs="仿宋"/>
                <w:color w:val="333333"/>
                <w:kern w:val="0"/>
                <w:sz w:val="24"/>
                <w:szCs w:val="24"/>
                <w:lang w:val="en-US" w:eastAsia="zh-CN"/>
              </w:rPr>
              <w:t>本产品为净值型理财产品，其业绩表现将随市场波动，具有不确定性。业绩比较基准由管理人根据本产品的投资范围和比例、投资策略，并综合考虑市场环境等因素测算。本产品全部投资于现金、符合监管要求的银行存款、债券回购、中央银行票据、同业存款、债券等固定收益类金融工具。综合已知的市场利率水平测算出本产品业绩比较基准。</w:t>
            </w:r>
            <w:r>
              <w:rPr>
                <w:rFonts w:hint="eastAsia" w:ascii="仿宋" w:hAnsi="仿宋" w:eastAsia="仿宋" w:cs="仿宋"/>
                <w:b/>
                <w:bCs/>
                <w:color w:val="333333"/>
                <w:kern w:val="0"/>
                <w:sz w:val="24"/>
                <w:szCs w:val="24"/>
                <w:u w:val="single"/>
                <w:lang w:val="en-US" w:eastAsia="zh-CN"/>
              </w:rPr>
              <w:t>理财产品业绩比较基准和过往业绩不代表其未来表现，不等于理财产品实际收益，投资须谨慎。</w:t>
            </w:r>
            <w:r>
              <w:rPr>
                <w:rFonts w:hint="eastAsia" w:ascii="仿宋" w:hAnsi="仿宋" w:eastAsia="仿宋" w:cs="仿宋"/>
                <w:color w:val="333333"/>
                <w:kern w:val="0"/>
                <w:sz w:val="24"/>
                <w:szCs w:val="24"/>
                <w:lang w:val="en-US" w:eastAsia="zh-CN"/>
              </w:rPr>
              <w:t>投资者的实际收益由产品赎回时的净值决定。</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111" w:hRule="atLeast"/>
          <w:jc w:val="center"/>
        </w:trPr>
        <w:tc>
          <w:tcPr>
            <w:tcW w:w="2250" w:type="dxa"/>
            <w:tcBorders>
              <w:top w:val="nil"/>
              <w:left w:val="single" w:color="auto" w:sz="8" w:space="0"/>
              <w:bottom w:val="single" w:color="auto" w:sz="8" w:space="0"/>
              <w:right w:val="single" w:color="auto" w:sz="8" w:space="0"/>
            </w:tcBorders>
            <w:tcMar>
              <w:top w:w="45" w:type="dxa"/>
              <w:left w:w="45" w:type="dxa"/>
              <w:bottom w:w="45" w:type="dxa"/>
              <w:right w:w="45" w:type="dxa"/>
            </w:tcMar>
            <w:vAlign w:val="top"/>
          </w:tcPr>
          <w:p>
            <w:pPr>
              <w:widowControl/>
              <w:pBdr>
                <w:top w:val="none" w:color="auto" w:sz="0" w:space="0"/>
                <w:left w:val="none" w:color="auto" w:sz="0" w:space="0"/>
                <w:bottom w:val="none" w:color="auto" w:sz="0" w:space="0"/>
                <w:right w:val="none" w:color="auto" w:sz="0" w:space="0"/>
              </w:pBdr>
              <w:wordWrap/>
              <w:adjustRightInd/>
              <w:snapToGrid/>
              <w:spacing w:beforeAutospacing="0" w:after="0" w:afterAutospacing="0" w:line="240" w:lineRule="auto"/>
              <w:ind w:left="0" w:right="0"/>
              <w:jc w:val="left"/>
              <w:rPr>
                <w:rFonts w:hint="eastAsia" w:ascii="微软雅黑" w:hAnsi="微软雅黑" w:eastAsia="微软雅黑" w:cs="微软雅黑"/>
                <w:color w:val="333333"/>
                <w:sz w:val="21"/>
                <w:szCs w:val="21"/>
              </w:rPr>
            </w:pPr>
            <w:r>
              <w:rPr>
                <w:rFonts w:hint="eastAsia" w:ascii="仿宋" w:hAnsi="仿宋" w:eastAsia="仿宋" w:cs="仿宋"/>
                <w:b/>
                <w:bCs/>
                <w:color w:val="333333"/>
                <w:kern w:val="0"/>
                <w:sz w:val="24"/>
                <w:szCs w:val="24"/>
                <w:lang w:val="en-US" w:eastAsia="zh-CN"/>
              </w:rPr>
              <w:t>产品托管人</w:t>
            </w:r>
          </w:p>
        </w:tc>
        <w:tc>
          <w:tcPr>
            <w:tcW w:w="6645" w:type="dxa"/>
            <w:tcBorders>
              <w:top w:val="nil"/>
              <w:left w:val="single" w:color="auto" w:sz="8" w:space="0"/>
              <w:bottom w:val="single" w:color="auto" w:sz="8" w:space="0"/>
              <w:right w:val="single" w:color="auto" w:sz="8" w:space="0"/>
            </w:tcBorders>
            <w:tcMar>
              <w:top w:w="45" w:type="dxa"/>
              <w:left w:w="45" w:type="dxa"/>
              <w:bottom w:w="45" w:type="dxa"/>
              <w:right w:w="45" w:type="dxa"/>
            </w:tcMar>
            <w:vAlign w:val="top"/>
          </w:tcPr>
          <w:p>
            <w:pPr>
              <w:widowControl/>
              <w:pBdr>
                <w:top w:val="none" w:color="auto" w:sz="0" w:space="0"/>
                <w:left w:val="none" w:color="auto" w:sz="0" w:space="0"/>
                <w:bottom w:val="none" w:color="auto" w:sz="0" w:space="0"/>
                <w:right w:val="none" w:color="auto" w:sz="0" w:space="0"/>
              </w:pBdr>
              <w:wordWrap/>
              <w:adjustRightInd/>
              <w:snapToGrid/>
              <w:spacing w:beforeAutospacing="0" w:after="0" w:afterAutospacing="0" w:line="240" w:lineRule="auto"/>
              <w:ind w:left="0" w:right="0"/>
              <w:jc w:val="left"/>
              <w:rPr>
                <w:rFonts w:hint="eastAsia" w:ascii="微软雅黑" w:hAnsi="微软雅黑" w:eastAsia="微软雅黑" w:cs="微软雅黑"/>
                <w:color w:val="333333"/>
                <w:sz w:val="24"/>
                <w:szCs w:val="24"/>
              </w:rPr>
            </w:pPr>
            <w:r>
              <w:rPr>
                <w:rFonts w:hint="eastAsia" w:ascii="仿宋" w:hAnsi="仿宋" w:eastAsia="仿宋" w:cs="仿宋"/>
                <w:color w:val="333333"/>
                <w:kern w:val="0"/>
                <w:sz w:val="24"/>
                <w:szCs w:val="24"/>
                <w:lang w:val="en-US" w:eastAsia="zh-CN"/>
              </w:rPr>
              <w:t>中国民生银行股份有限公司</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111" w:hRule="atLeast"/>
          <w:jc w:val="center"/>
        </w:trPr>
        <w:tc>
          <w:tcPr>
            <w:tcW w:w="2250" w:type="dxa"/>
            <w:tcBorders>
              <w:top w:val="nil"/>
              <w:left w:val="single" w:color="auto" w:sz="8" w:space="0"/>
              <w:bottom w:val="single" w:color="auto" w:sz="8" w:space="0"/>
              <w:right w:val="single" w:color="auto" w:sz="8" w:space="0"/>
            </w:tcBorders>
            <w:tcMar>
              <w:top w:w="45" w:type="dxa"/>
              <w:left w:w="45" w:type="dxa"/>
              <w:bottom w:w="45" w:type="dxa"/>
              <w:right w:w="45" w:type="dxa"/>
            </w:tcMar>
            <w:vAlign w:val="top"/>
          </w:tcPr>
          <w:p>
            <w:pPr>
              <w:widowControl/>
              <w:pBdr>
                <w:top w:val="none" w:color="auto" w:sz="0" w:space="0"/>
                <w:left w:val="none" w:color="auto" w:sz="0" w:space="0"/>
                <w:bottom w:val="none" w:color="auto" w:sz="0" w:space="0"/>
                <w:right w:val="none" w:color="auto" w:sz="0" w:space="0"/>
              </w:pBdr>
              <w:wordWrap/>
              <w:adjustRightInd/>
              <w:snapToGrid/>
              <w:spacing w:beforeAutospacing="0" w:after="0" w:afterAutospacing="0" w:line="240" w:lineRule="auto"/>
              <w:ind w:left="0" w:right="0"/>
              <w:jc w:val="left"/>
              <w:rPr>
                <w:rFonts w:hint="eastAsia" w:ascii="微软雅黑" w:hAnsi="微软雅黑" w:eastAsia="微软雅黑" w:cs="微软雅黑"/>
                <w:color w:val="333333"/>
                <w:sz w:val="21"/>
                <w:szCs w:val="21"/>
              </w:rPr>
            </w:pPr>
            <w:r>
              <w:rPr>
                <w:rFonts w:hint="eastAsia" w:ascii="仿宋" w:hAnsi="仿宋" w:eastAsia="仿宋" w:cs="仿宋"/>
                <w:b/>
                <w:bCs/>
                <w:color w:val="333333"/>
                <w:kern w:val="0"/>
                <w:sz w:val="24"/>
                <w:szCs w:val="24"/>
                <w:lang w:val="en-US" w:eastAsia="zh-CN"/>
              </w:rPr>
              <w:t>产品费用</w:t>
            </w:r>
          </w:p>
        </w:tc>
        <w:tc>
          <w:tcPr>
            <w:tcW w:w="6645" w:type="dxa"/>
            <w:tcBorders>
              <w:top w:val="nil"/>
              <w:left w:val="single" w:color="auto" w:sz="8" w:space="0"/>
              <w:bottom w:val="single" w:color="auto" w:sz="8" w:space="0"/>
              <w:right w:val="single" w:color="auto" w:sz="8" w:space="0"/>
            </w:tcBorders>
            <w:tcMar>
              <w:top w:w="45" w:type="dxa"/>
              <w:left w:w="45" w:type="dxa"/>
              <w:bottom w:w="45" w:type="dxa"/>
              <w:right w:w="45" w:type="dxa"/>
            </w:tcMar>
            <w:vAlign w:val="top"/>
          </w:tcPr>
          <w:p>
            <w:pPr>
              <w:widowControl/>
              <w:pBdr>
                <w:top w:val="none" w:color="auto" w:sz="0" w:space="0"/>
                <w:left w:val="none" w:color="auto" w:sz="0" w:space="0"/>
                <w:bottom w:val="none" w:color="auto" w:sz="0" w:space="0"/>
                <w:right w:val="none" w:color="auto" w:sz="0" w:space="0"/>
              </w:pBdr>
              <w:wordWrap/>
              <w:adjustRightInd/>
              <w:snapToGrid/>
              <w:spacing w:beforeAutospacing="0" w:after="0" w:afterAutospacing="0" w:line="240" w:lineRule="auto"/>
              <w:ind w:left="0" w:right="0"/>
              <w:jc w:val="left"/>
              <w:rPr>
                <w:rFonts w:hint="eastAsia" w:ascii="微软雅黑" w:hAnsi="微软雅黑" w:eastAsia="微软雅黑" w:cs="微软雅黑"/>
                <w:color w:val="333333"/>
                <w:sz w:val="24"/>
                <w:szCs w:val="24"/>
              </w:rPr>
            </w:pPr>
            <w:r>
              <w:rPr>
                <w:rFonts w:hint="eastAsia" w:ascii="仿宋" w:hAnsi="仿宋" w:eastAsia="仿宋" w:cs="仿宋"/>
                <w:color w:val="333333"/>
                <w:kern w:val="0"/>
                <w:sz w:val="24"/>
                <w:szCs w:val="24"/>
                <w:lang w:val="en-US" w:eastAsia="zh-CN"/>
              </w:rPr>
              <w:t>认购费：本产品暂不收认购费。以后如收取将至少提前5个工作日在长沙农商银行官网公布。</w:t>
            </w:r>
          </w:p>
          <w:p>
            <w:pPr>
              <w:widowControl/>
              <w:pBdr>
                <w:top w:val="none" w:color="auto" w:sz="0" w:space="0"/>
                <w:left w:val="none" w:color="auto" w:sz="0" w:space="0"/>
                <w:bottom w:val="none" w:color="auto" w:sz="0" w:space="0"/>
                <w:right w:val="none" w:color="auto" w:sz="0" w:space="0"/>
              </w:pBdr>
              <w:wordWrap/>
              <w:adjustRightInd/>
              <w:snapToGrid/>
              <w:spacing w:beforeAutospacing="0" w:after="0" w:afterAutospacing="0" w:line="240" w:lineRule="auto"/>
              <w:ind w:left="0" w:right="0"/>
              <w:jc w:val="left"/>
              <w:rPr>
                <w:rFonts w:hint="eastAsia" w:ascii="微软雅黑" w:hAnsi="微软雅黑" w:eastAsia="微软雅黑" w:cs="微软雅黑"/>
                <w:color w:val="333333"/>
                <w:sz w:val="24"/>
                <w:szCs w:val="24"/>
              </w:rPr>
            </w:pPr>
            <w:r>
              <w:rPr>
                <w:rFonts w:hint="eastAsia" w:ascii="仿宋" w:hAnsi="仿宋" w:eastAsia="仿宋" w:cs="仿宋"/>
                <w:color w:val="333333"/>
                <w:kern w:val="0"/>
                <w:sz w:val="24"/>
                <w:szCs w:val="24"/>
                <w:lang w:val="en-US" w:eastAsia="zh-CN"/>
              </w:rPr>
              <w:t>申购费：本产品暂不收申购费。以后如收取将至少提前5个工作日在长沙农商银行官网公布。</w:t>
            </w:r>
          </w:p>
          <w:p>
            <w:pPr>
              <w:widowControl/>
              <w:pBdr>
                <w:top w:val="none" w:color="auto" w:sz="0" w:space="0"/>
                <w:left w:val="none" w:color="auto" w:sz="0" w:space="0"/>
                <w:bottom w:val="none" w:color="auto" w:sz="0" w:space="0"/>
                <w:right w:val="none" w:color="auto" w:sz="0" w:space="0"/>
              </w:pBdr>
              <w:wordWrap/>
              <w:adjustRightInd/>
              <w:snapToGrid/>
              <w:spacing w:beforeAutospacing="0" w:after="0" w:afterAutospacing="0" w:line="240" w:lineRule="auto"/>
              <w:ind w:left="0" w:right="0"/>
              <w:jc w:val="left"/>
              <w:rPr>
                <w:rFonts w:hint="eastAsia" w:ascii="微软雅黑" w:hAnsi="微软雅黑" w:eastAsia="微软雅黑" w:cs="微软雅黑"/>
                <w:color w:val="333333"/>
                <w:sz w:val="24"/>
                <w:szCs w:val="24"/>
              </w:rPr>
            </w:pPr>
            <w:r>
              <w:rPr>
                <w:rFonts w:hint="eastAsia" w:ascii="仿宋" w:hAnsi="仿宋" w:eastAsia="仿宋" w:cs="仿宋"/>
                <w:color w:val="333333"/>
                <w:kern w:val="0"/>
                <w:sz w:val="24"/>
                <w:szCs w:val="24"/>
                <w:lang w:val="en-US" w:eastAsia="zh-CN"/>
              </w:rPr>
              <w:t>赎回费：本产品暂不收赎回费。以后如收取将至少提前5个工作日在长沙农商银行官网公布。</w:t>
            </w:r>
          </w:p>
          <w:p>
            <w:pPr>
              <w:widowControl/>
              <w:pBdr>
                <w:top w:val="none" w:color="auto" w:sz="0" w:space="0"/>
                <w:left w:val="none" w:color="auto" w:sz="0" w:space="0"/>
                <w:bottom w:val="none" w:color="auto" w:sz="0" w:space="0"/>
                <w:right w:val="none" w:color="auto" w:sz="0" w:space="0"/>
              </w:pBdr>
              <w:wordWrap/>
              <w:adjustRightInd/>
              <w:snapToGrid/>
              <w:spacing w:beforeAutospacing="0" w:after="0" w:afterAutospacing="0" w:line="240" w:lineRule="auto"/>
              <w:ind w:left="0" w:right="0"/>
              <w:jc w:val="left"/>
              <w:rPr>
                <w:rFonts w:hint="eastAsia" w:ascii="微软雅黑" w:hAnsi="微软雅黑" w:eastAsia="微软雅黑" w:cs="微软雅黑"/>
                <w:color w:val="333333"/>
                <w:sz w:val="24"/>
                <w:szCs w:val="24"/>
              </w:rPr>
            </w:pPr>
            <w:r>
              <w:rPr>
                <w:rFonts w:hint="eastAsia" w:ascii="仿宋" w:hAnsi="仿宋" w:eastAsia="仿宋" w:cs="仿宋"/>
                <w:color w:val="333333"/>
                <w:kern w:val="0"/>
                <w:sz w:val="24"/>
                <w:szCs w:val="24"/>
                <w:lang w:val="en-US" w:eastAsia="zh-CN"/>
              </w:rPr>
              <w:t>托管费：本产品托管银行按前一日产品资产净值的0.001%（年化）收取托管费，按日计提。</w:t>
            </w:r>
          </w:p>
          <w:p>
            <w:pPr>
              <w:widowControl/>
              <w:pBdr>
                <w:top w:val="none" w:color="auto" w:sz="0" w:space="0"/>
                <w:left w:val="none" w:color="auto" w:sz="0" w:space="0"/>
                <w:bottom w:val="none" w:color="auto" w:sz="0" w:space="0"/>
                <w:right w:val="none" w:color="auto" w:sz="0" w:space="0"/>
              </w:pBdr>
              <w:wordWrap/>
              <w:adjustRightInd/>
              <w:snapToGrid/>
              <w:spacing w:beforeAutospacing="0" w:after="0" w:afterAutospacing="0" w:line="240" w:lineRule="auto"/>
              <w:ind w:left="0" w:right="0"/>
              <w:jc w:val="left"/>
              <w:rPr>
                <w:rFonts w:hint="eastAsia" w:ascii="微软雅黑" w:hAnsi="微软雅黑" w:eastAsia="微软雅黑" w:cs="微软雅黑"/>
                <w:color w:val="333333"/>
                <w:sz w:val="24"/>
                <w:szCs w:val="24"/>
              </w:rPr>
            </w:pPr>
            <w:r>
              <w:rPr>
                <w:rFonts w:hint="eastAsia" w:ascii="仿宋" w:hAnsi="仿宋" w:eastAsia="仿宋" w:cs="仿宋"/>
                <w:color w:val="333333"/>
                <w:kern w:val="0"/>
                <w:sz w:val="24"/>
                <w:szCs w:val="24"/>
                <w:lang w:val="en-US" w:eastAsia="zh-CN"/>
              </w:rPr>
              <w:t>估值费：估值服务机构按前一日产品资产净值0.01%（年化）收取估值服务费。</w:t>
            </w:r>
          </w:p>
          <w:p>
            <w:pPr>
              <w:widowControl/>
              <w:pBdr>
                <w:top w:val="none" w:color="auto" w:sz="0" w:space="0"/>
                <w:left w:val="none" w:color="auto" w:sz="0" w:space="0"/>
                <w:bottom w:val="none" w:color="auto" w:sz="0" w:space="0"/>
                <w:right w:val="none" w:color="auto" w:sz="0" w:space="0"/>
              </w:pBdr>
              <w:wordWrap/>
              <w:adjustRightInd/>
              <w:snapToGrid/>
              <w:spacing w:beforeAutospacing="0" w:after="0" w:afterAutospacing="0" w:line="240" w:lineRule="auto"/>
              <w:ind w:left="0" w:right="0"/>
              <w:jc w:val="left"/>
              <w:rPr>
                <w:rFonts w:hint="eastAsia" w:ascii="仿宋" w:hAnsi="仿宋" w:eastAsia="仿宋" w:cs="仿宋"/>
                <w:color w:val="auto"/>
                <w:kern w:val="0"/>
                <w:sz w:val="24"/>
                <w:szCs w:val="24"/>
                <w:lang w:val="en-US" w:eastAsia="zh-CN"/>
              </w:rPr>
            </w:pPr>
            <w:r>
              <w:rPr>
                <w:rFonts w:hint="eastAsia" w:ascii="仿宋" w:hAnsi="仿宋" w:eastAsia="仿宋" w:cs="仿宋"/>
                <w:color w:val="auto"/>
                <w:kern w:val="0"/>
                <w:sz w:val="24"/>
                <w:szCs w:val="24"/>
                <w:lang w:val="en-US" w:eastAsia="zh-CN"/>
              </w:rPr>
              <w:t>固定管理费：本产品按前一日产品资产净值的0.2%（年化）收取固定管理费，按日计提。</w:t>
            </w:r>
          </w:p>
          <w:p>
            <w:pPr>
              <w:widowControl/>
              <w:pBdr>
                <w:top w:val="none" w:color="auto" w:sz="0" w:space="0"/>
                <w:left w:val="none" w:color="auto" w:sz="0" w:space="0"/>
                <w:bottom w:val="none" w:color="auto" w:sz="0" w:space="0"/>
                <w:right w:val="none" w:color="auto" w:sz="0" w:space="0"/>
              </w:pBdr>
              <w:wordWrap/>
              <w:adjustRightInd/>
              <w:snapToGrid/>
              <w:spacing w:beforeAutospacing="0" w:after="0" w:afterAutospacing="0" w:line="240" w:lineRule="auto"/>
              <w:ind w:left="0" w:right="0"/>
              <w:jc w:val="left"/>
              <w:rPr>
                <w:rFonts w:hint="eastAsia" w:ascii="仿宋" w:hAnsi="仿宋" w:eastAsia="仿宋" w:cs="仿宋"/>
                <w:color w:val="auto"/>
                <w:kern w:val="0"/>
                <w:sz w:val="24"/>
                <w:szCs w:val="24"/>
                <w:lang w:val="en-US" w:eastAsia="zh-CN"/>
              </w:rPr>
            </w:pPr>
            <w:r>
              <w:rPr>
                <w:rFonts w:hint="eastAsia" w:ascii="仿宋" w:hAnsi="仿宋" w:eastAsia="仿宋" w:cs="仿宋"/>
                <w:color w:val="auto"/>
                <w:kern w:val="0"/>
                <w:sz w:val="24"/>
                <w:szCs w:val="24"/>
                <w:highlight w:val="none"/>
                <w:lang w:val="en-US" w:eastAsia="zh-CN"/>
              </w:rPr>
              <w:t>浮动管理费：当本产品按扣除认购费、申购费、赎回费、托管费、估值费和固定管理费等相关税费后的净值折算的开放周期的年化收益率高于业绩基准上限时，对于超过部分管理人按80%的比例收取浮动管理费，按日计提。</w:t>
            </w:r>
          </w:p>
          <w:p>
            <w:pPr>
              <w:widowControl/>
              <w:pBdr>
                <w:top w:val="none" w:color="auto" w:sz="0" w:space="0"/>
                <w:left w:val="none" w:color="auto" w:sz="0" w:space="0"/>
                <w:bottom w:val="none" w:color="auto" w:sz="0" w:space="0"/>
                <w:right w:val="none" w:color="auto" w:sz="0" w:space="0"/>
              </w:pBdr>
              <w:wordWrap/>
              <w:adjustRightInd/>
              <w:snapToGrid/>
              <w:spacing w:beforeAutospacing="0" w:after="0" w:afterAutospacing="0" w:line="240" w:lineRule="auto"/>
              <w:ind w:left="0" w:right="0"/>
              <w:jc w:val="left"/>
              <w:rPr>
                <w:rFonts w:hint="eastAsia" w:ascii="微软雅黑" w:hAnsi="微软雅黑" w:eastAsia="微软雅黑" w:cs="微软雅黑"/>
                <w:color w:val="333333"/>
                <w:sz w:val="24"/>
                <w:szCs w:val="24"/>
              </w:rPr>
            </w:pPr>
            <w:r>
              <w:rPr>
                <w:rFonts w:hint="eastAsia" w:ascii="仿宋" w:hAnsi="仿宋" w:eastAsia="仿宋" w:cs="仿宋"/>
                <w:color w:val="333333"/>
                <w:kern w:val="0"/>
                <w:sz w:val="24"/>
                <w:szCs w:val="24"/>
                <w:lang w:val="en-US" w:eastAsia="zh-CN"/>
              </w:rPr>
              <w:t>注：每日公布净值中已扣除销售服务费（含认购、申购、赎回费等）、托管费、估值费和管理费等相关费用。</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111" w:hRule="atLeast"/>
          <w:jc w:val="center"/>
        </w:trPr>
        <w:tc>
          <w:tcPr>
            <w:tcW w:w="2250" w:type="dxa"/>
            <w:tcBorders>
              <w:top w:val="nil"/>
              <w:left w:val="single" w:color="auto" w:sz="8" w:space="0"/>
              <w:bottom w:val="single" w:color="auto" w:sz="8" w:space="0"/>
              <w:right w:val="single" w:color="auto" w:sz="8" w:space="0"/>
            </w:tcBorders>
            <w:tcMar>
              <w:top w:w="45" w:type="dxa"/>
              <w:left w:w="45" w:type="dxa"/>
              <w:bottom w:w="45" w:type="dxa"/>
              <w:right w:w="45" w:type="dxa"/>
            </w:tcMar>
            <w:vAlign w:val="top"/>
          </w:tcPr>
          <w:p>
            <w:pPr>
              <w:widowControl/>
              <w:pBdr>
                <w:top w:val="none" w:color="auto" w:sz="0" w:space="0"/>
                <w:left w:val="none" w:color="auto" w:sz="0" w:space="0"/>
                <w:bottom w:val="none" w:color="auto" w:sz="0" w:space="0"/>
                <w:right w:val="none" w:color="auto" w:sz="0" w:space="0"/>
              </w:pBdr>
              <w:wordWrap/>
              <w:adjustRightInd/>
              <w:snapToGrid/>
              <w:spacing w:beforeAutospacing="0" w:after="0" w:afterAutospacing="0" w:line="240" w:lineRule="auto"/>
              <w:ind w:left="0" w:right="0"/>
              <w:jc w:val="left"/>
              <w:rPr>
                <w:rFonts w:hint="eastAsia" w:ascii="微软雅黑" w:hAnsi="微软雅黑" w:eastAsia="微软雅黑" w:cs="微软雅黑"/>
                <w:color w:val="333333"/>
                <w:sz w:val="21"/>
                <w:szCs w:val="21"/>
              </w:rPr>
            </w:pPr>
            <w:r>
              <w:rPr>
                <w:rFonts w:hint="eastAsia" w:ascii="仿宋" w:hAnsi="仿宋" w:eastAsia="仿宋" w:cs="仿宋"/>
                <w:b/>
                <w:bCs/>
                <w:color w:val="333333"/>
                <w:kern w:val="0"/>
                <w:sz w:val="24"/>
                <w:szCs w:val="24"/>
                <w:lang w:val="en-US" w:eastAsia="zh-CN"/>
              </w:rPr>
              <w:t>税款</w:t>
            </w:r>
          </w:p>
        </w:tc>
        <w:tc>
          <w:tcPr>
            <w:tcW w:w="6645" w:type="dxa"/>
            <w:tcBorders>
              <w:top w:val="nil"/>
              <w:left w:val="single" w:color="auto" w:sz="8" w:space="0"/>
              <w:bottom w:val="single" w:color="auto" w:sz="8" w:space="0"/>
              <w:right w:val="single" w:color="auto" w:sz="8" w:space="0"/>
            </w:tcBorders>
            <w:tcMar>
              <w:top w:w="45" w:type="dxa"/>
              <w:left w:w="45" w:type="dxa"/>
              <w:bottom w:w="45" w:type="dxa"/>
              <w:right w:w="45" w:type="dxa"/>
            </w:tcMar>
            <w:vAlign w:val="top"/>
          </w:tcPr>
          <w:p>
            <w:pPr>
              <w:widowControl/>
              <w:pBdr>
                <w:top w:val="none" w:color="auto" w:sz="0" w:space="0"/>
                <w:left w:val="none" w:color="auto" w:sz="0" w:space="0"/>
                <w:bottom w:val="none" w:color="auto" w:sz="0" w:space="0"/>
                <w:right w:val="none" w:color="auto" w:sz="0" w:space="0"/>
              </w:pBdr>
              <w:wordWrap/>
              <w:adjustRightInd/>
              <w:snapToGrid/>
              <w:spacing w:beforeAutospacing="0" w:after="0" w:afterAutospacing="0" w:line="240" w:lineRule="auto"/>
              <w:ind w:left="0" w:right="0"/>
              <w:jc w:val="left"/>
              <w:rPr>
                <w:rFonts w:hint="eastAsia" w:ascii="微软雅黑" w:hAnsi="微软雅黑" w:eastAsia="微软雅黑" w:cs="微软雅黑"/>
                <w:color w:val="333333"/>
                <w:sz w:val="24"/>
                <w:szCs w:val="24"/>
              </w:rPr>
            </w:pPr>
            <w:r>
              <w:rPr>
                <w:rFonts w:hint="eastAsia" w:ascii="仿宋" w:hAnsi="仿宋" w:eastAsia="仿宋" w:cs="仿宋"/>
                <w:color w:val="333333"/>
                <w:kern w:val="0"/>
                <w:sz w:val="24"/>
                <w:szCs w:val="24"/>
                <w:lang w:val="en-US" w:eastAsia="zh-CN"/>
              </w:rPr>
              <w:t>本产品中银行不承担代投资人扣缴相关税费的义务，但法律法规另有规定的除外。</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111" w:hRule="atLeast"/>
          <w:jc w:val="center"/>
        </w:trPr>
        <w:tc>
          <w:tcPr>
            <w:tcW w:w="2250" w:type="dxa"/>
            <w:tcBorders>
              <w:top w:val="nil"/>
              <w:left w:val="single" w:color="auto" w:sz="8" w:space="0"/>
              <w:bottom w:val="single" w:color="auto" w:sz="8" w:space="0"/>
              <w:right w:val="single" w:color="auto" w:sz="8" w:space="0"/>
            </w:tcBorders>
            <w:tcMar>
              <w:top w:w="45" w:type="dxa"/>
              <w:left w:w="45" w:type="dxa"/>
              <w:bottom w:w="45" w:type="dxa"/>
              <w:right w:w="45" w:type="dxa"/>
            </w:tcMar>
            <w:vAlign w:val="top"/>
          </w:tcPr>
          <w:p>
            <w:pPr>
              <w:widowControl/>
              <w:pBdr>
                <w:top w:val="none" w:color="auto" w:sz="0" w:space="0"/>
                <w:left w:val="none" w:color="auto" w:sz="0" w:space="0"/>
                <w:bottom w:val="none" w:color="auto" w:sz="0" w:space="0"/>
                <w:right w:val="none" w:color="auto" w:sz="0" w:space="0"/>
              </w:pBdr>
              <w:wordWrap/>
              <w:adjustRightInd/>
              <w:snapToGrid/>
              <w:spacing w:beforeAutospacing="0" w:after="0" w:afterAutospacing="0" w:line="240" w:lineRule="auto"/>
              <w:ind w:left="0" w:right="0"/>
              <w:jc w:val="left"/>
              <w:rPr>
                <w:rFonts w:hint="eastAsia" w:ascii="微软雅黑" w:hAnsi="微软雅黑" w:eastAsia="微软雅黑" w:cs="微软雅黑"/>
                <w:color w:val="333333"/>
                <w:sz w:val="21"/>
                <w:szCs w:val="21"/>
              </w:rPr>
            </w:pPr>
            <w:r>
              <w:rPr>
                <w:rFonts w:hint="eastAsia" w:ascii="仿宋" w:hAnsi="仿宋" w:eastAsia="仿宋" w:cs="仿宋"/>
                <w:b/>
                <w:bCs/>
                <w:color w:val="333333"/>
                <w:kern w:val="0"/>
                <w:sz w:val="24"/>
                <w:szCs w:val="24"/>
                <w:lang w:val="en-US" w:eastAsia="zh-CN"/>
              </w:rPr>
              <w:t>购买方式</w:t>
            </w:r>
          </w:p>
        </w:tc>
        <w:tc>
          <w:tcPr>
            <w:tcW w:w="6645" w:type="dxa"/>
            <w:tcBorders>
              <w:top w:val="nil"/>
              <w:left w:val="single" w:color="auto" w:sz="8" w:space="0"/>
              <w:bottom w:val="single" w:color="auto" w:sz="8" w:space="0"/>
              <w:right w:val="single" w:color="auto" w:sz="8" w:space="0"/>
            </w:tcBorders>
            <w:tcMar>
              <w:top w:w="45" w:type="dxa"/>
              <w:left w:w="45" w:type="dxa"/>
              <w:bottom w:w="45" w:type="dxa"/>
              <w:right w:w="45" w:type="dxa"/>
            </w:tcMar>
            <w:vAlign w:val="top"/>
          </w:tcPr>
          <w:p>
            <w:pPr>
              <w:widowControl/>
              <w:pBdr>
                <w:top w:val="none" w:color="auto" w:sz="0" w:space="0"/>
                <w:left w:val="none" w:color="auto" w:sz="0" w:space="0"/>
                <w:bottom w:val="none" w:color="auto" w:sz="0" w:space="0"/>
                <w:right w:val="none" w:color="auto" w:sz="0" w:space="0"/>
              </w:pBdr>
              <w:wordWrap/>
              <w:adjustRightInd/>
              <w:snapToGrid/>
              <w:spacing w:beforeAutospacing="0" w:after="0" w:afterAutospacing="0" w:line="240" w:lineRule="auto"/>
              <w:ind w:left="0" w:right="0"/>
              <w:jc w:val="left"/>
              <w:rPr>
                <w:rFonts w:hint="eastAsia" w:ascii="微软雅黑" w:hAnsi="微软雅黑" w:eastAsia="微软雅黑" w:cs="微软雅黑"/>
                <w:color w:val="333333"/>
                <w:sz w:val="24"/>
                <w:szCs w:val="24"/>
              </w:rPr>
            </w:pPr>
            <w:r>
              <w:rPr>
                <w:rFonts w:hint="eastAsia" w:ascii="仿宋" w:hAnsi="仿宋" w:eastAsia="仿宋" w:cs="仿宋"/>
                <w:color w:val="333333"/>
                <w:kern w:val="0"/>
                <w:sz w:val="24"/>
                <w:szCs w:val="24"/>
                <w:lang w:val="en-US" w:eastAsia="zh-CN"/>
              </w:rPr>
              <w:t>在理财产品认购期和开放时间内，个人投资者可携带本人身份证件和长沙农商银行借记卡到长沙农商银行具有销售资格的营业网点进行购买,或通过手机银行渠道购买，机构投资者需到长沙农商银行具有销售资格的营业网点进行申购和赎回，以及撤单等交易。认购期内，投资者可以撤单；开放期内，投资者可在申购/赎回申请日的开放时间内进行撤单。</w:t>
            </w:r>
          </w:p>
        </w:tc>
      </w:tr>
    </w:tbl>
    <w:p>
      <w:pPr>
        <w:widowControl/>
        <w:pBdr>
          <w:top w:val="none" w:color="auto" w:sz="0" w:space="0"/>
          <w:left w:val="none" w:color="auto" w:sz="0" w:space="0"/>
          <w:bottom w:val="none" w:color="auto" w:sz="0" w:space="0"/>
          <w:right w:val="none" w:color="auto" w:sz="0" w:space="0"/>
        </w:pBdr>
        <w:wordWrap/>
        <w:adjustRightInd/>
        <w:snapToGrid/>
        <w:spacing w:beforeAutospacing="0" w:after="0" w:afterAutospacing="0" w:line="240" w:lineRule="auto"/>
        <w:ind w:left="0" w:right="0" w:firstLine="482" w:firstLineChars="200"/>
        <w:jc w:val="left"/>
        <w:rPr>
          <w:rFonts w:hint="eastAsia" w:ascii="微软雅黑" w:hAnsi="微软雅黑" w:eastAsia="微软雅黑" w:cs="微软雅黑"/>
          <w:color w:val="333333"/>
          <w:sz w:val="21"/>
          <w:szCs w:val="21"/>
        </w:rPr>
      </w:pPr>
      <w:r>
        <w:rPr>
          <w:rFonts w:hint="eastAsia" w:ascii="仿宋" w:hAnsi="仿宋" w:eastAsia="仿宋" w:cs="仿宋"/>
          <w:b/>
          <w:bCs/>
          <w:caps w:val="0"/>
          <w:color w:val="333333"/>
          <w:spacing w:val="0"/>
          <w:kern w:val="0"/>
          <w:sz w:val="24"/>
          <w:szCs w:val="24"/>
          <w:shd w:val="clear" w:color="090000" w:fill="FFFFFF"/>
          <w:lang w:val="en-US" w:eastAsia="zh-CN"/>
        </w:rPr>
        <w:t>三、产品认购、申购、赎回方式</w:t>
      </w:r>
    </w:p>
    <w:p>
      <w:pPr>
        <w:widowControl/>
        <w:pBdr>
          <w:top w:val="none" w:color="auto" w:sz="0" w:space="0"/>
          <w:left w:val="none" w:color="auto" w:sz="0" w:space="0"/>
          <w:bottom w:val="none" w:color="auto" w:sz="0" w:space="0"/>
          <w:right w:val="none" w:color="auto" w:sz="0" w:space="0"/>
        </w:pBdr>
        <w:wordWrap/>
        <w:adjustRightInd/>
        <w:snapToGrid/>
        <w:spacing w:beforeAutospacing="0" w:after="0" w:afterAutospacing="0" w:line="240" w:lineRule="auto"/>
        <w:ind w:left="0" w:right="0"/>
        <w:jc w:val="left"/>
        <w:rPr>
          <w:rFonts w:hint="eastAsia" w:ascii="微软雅黑" w:hAnsi="微软雅黑" w:eastAsia="微软雅黑" w:cs="微软雅黑"/>
          <w:color w:val="333333"/>
          <w:sz w:val="21"/>
          <w:szCs w:val="21"/>
        </w:rPr>
      </w:pPr>
      <w:r>
        <w:rPr>
          <w:rFonts w:hint="eastAsia" w:ascii="仿宋" w:hAnsi="仿宋" w:eastAsia="仿宋" w:cs="仿宋"/>
          <w:caps w:val="0"/>
          <w:color w:val="333333"/>
          <w:spacing w:val="0"/>
          <w:kern w:val="0"/>
          <w:sz w:val="24"/>
          <w:szCs w:val="24"/>
          <w:shd w:val="clear" w:color="070000" w:fill="FFFFFF"/>
          <w:lang w:val="en-US" w:eastAsia="zh-CN"/>
        </w:rPr>
        <w:t>    （一）本金及理财收益</w:t>
      </w:r>
    </w:p>
    <w:p>
      <w:pPr>
        <w:widowControl/>
        <w:pBdr>
          <w:top w:val="none" w:color="auto" w:sz="0" w:space="0"/>
          <w:left w:val="none" w:color="auto" w:sz="0" w:space="0"/>
          <w:bottom w:val="none" w:color="auto" w:sz="0" w:space="0"/>
          <w:right w:val="none" w:color="auto" w:sz="0" w:space="0"/>
        </w:pBdr>
        <w:wordWrap/>
        <w:adjustRightInd/>
        <w:snapToGrid/>
        <w:spacing w:beforeAutospacing="0" w:after="0" w:afterAutospacing="0" w:line="240" w:lineRule="auto"/>
        <w:ind w:left="0" w:right="0" w:firstLine="480"/>
        <w:jc w:val="left"/>
        <w:rPr>
          <w:rFonts w:hint="eastAsia" w:ascii="微软雅黑" w:hAnsi="微软雅黑" w:eastAsia="微软雅黑" w:cs="微软雅黑"/>
          <w:color w:val="333333"/>
          <w:sz w:val="21"/>
          <w:szCs w:val="21"/>
        </w:rPr>
      </w:pPr>
      <w:r>
        <w:rPr>
          <w:rFonts w:hint="eastAsia" w:ascii="仿宋" w:hAnsi="仿宋" w:eastAsia="仿宋" w:cs="仿宋"/>
          <w:caps w:val="0"/>
          <w:color w:val="333333"/>
          <w:spacing w:val="0"/>
          <w:kern w:val="0"/>
          <w:sz w:val="24"/>
          <w:szCs w:val="24"/>
          <w:shd w:val="clear" w:color="070000" w:fill="FFFFFF"/>
          <w:lang w:val="en-US" w:eastAsia="zh-CN"/>
        </w:rPr>
        <w:t>1、本金及理财收益风险</w:t>
      </w:r>
    </w:p>
    <w:p>
      <w:pPr>
        <w:widowControl/>
        <w:pBdr>
          <w:top w:val="none" w:color="auto" w:sz="0" w:space="0"/>
          <w:left w:val="none" w:color="auto" w:sz="0" w:space="0"/>
          <w:bottom w:val="none" w:color="auto" w:sz="0" w:space="0"/>
          <w:right w:val="none" w:color="auto" w:sz="0" w:space="0"/>
        </w:pBdr>
        <w:wordWrap/>
        <w:adjustRightInd/>
        <w:snapToGrid/>
        <w:spacing w:beforeAutospacing="0" w:after="0" w:afterAutospacing="0" w:line="240" w:lineRule="auto"/>
        <w:ind w:left="0" w:right="0" w:firstLine="482"/>
        <w:jc w:val="left"/>
        <w:rPr>
          <w:rFonts w:hint="eastAsia" w:ascii="微软雅黑" w:hAnsi="微软雅黑" w:eastAsia="微软雅黑" w:cs="微软雅黑"/>
          <w:color w:val="333333"/>
          <w:sz w:val="21"/>
          <w:szCs w:val="21"/>
        </w:rPr>
      </w:pPr>
      <w:r>
        <w:rPr>
          <w:rFonts w:hint="eastAsia" w:ascii="仿宋" w:hAnsi="仿宋" w:eastAsia="仿宋" w:cs="仿宋"/>
          <w:b/>
          <w:bCs/>
          <w:caps w:val="0"/>
          <w:color w:val="333333"/>
          <w:spacing w:val="0"/>
          <w:kern w:val="0"/>
          <w:sz w:val="24"/>
          <w:szCs w:val="24"/>
          <w:u w:val="single"/>
          <w:shd w:val="clear" w:color="0A0000" w:fill="FFFFFF"/>
          <w:lang w:val="en-US" w:eastAsia="zh-CN"/>
        </w:rPr>
        <w:t>本理财产品类型为非保本浮动收益型，不保障本金及理财收益。</w:t>
      </w:r>
    </w:p>
    <w:p>
      <w:pPr>
        <w:widowControl/>
        <w:pBdr>
          <w:top w:val="none" w:color="auto" w:sz="0" w:space="0"/>
          <w:left w:val="none" w:color="auto" w:sz="0" w:space="0"/>
          <w:bottom w:val="none" w:color="auto" w:sz="0" w:space="0"/>
          <w:right w:val="none" w:color="auto" w:sz="0" w:space="0"/>
        </w:pBdr>
        <w:wordWrap/>
        <w:adjustRightInd/>
        <w:snapToGrid/>
        <w:spacing w:beforeAutospacing="0" w:after="0" w:afterAutospacing="0" w:line="240" w:lineRule="auto"/>
        <w:ind w:left="0" w:right="0" w:firstLine="480"/>
        <w:jc w:val="left"/>
        <w:rPr>
          <w:rFonts w:hint="eastAsia" w:ascii="微软雅黑" w:hAnsi="微软雅黑" w:eastAsia="微软雅黑" w:cs="微软雅黑"/>
          <w:color w:val="333333"/>
          <w:sz w:val="21"/>
          <w:szCs w:val="21"/>
        </w:rPr>
      </w:pPr>
      <w:r>
        <w:rPr>
          <w:rFonts w:hint="eastAsia" w:ascii="仿宋" w:hAnsi="仿宋" w:eastAsia="仿宋" w:cs="仿宋"/>
          <w:caps w:val="0"/>
          <w:color w:val="333333"/>
          <w:spacing w:val="0"/>
          <w:kern w:val="0"/>
          <w:sz w:val="24"/>
          <w:szCs w:val="24"/>
          <w:shd w:val="clear" w:color="070000" w:fill="FFFFFF"/>
          <w:lang w:val="en-US" w:eastAsia="zh-CN"/>
        </w:rPr>
        <w:t>2、风险提示：</w:t>
      </w:r>
    </w:p>
    <w:p>
      <w:pPr>
        <w:widowControl/>
        <w:pBdr>
          <w:top w:val="none" w:color="auto" w:sz="0" w:space="0"/>
          <w:left w:val="none" w:color="auto" w:sz="0" w:space="0"/>
          <w:bottom w:val="none" w:color="auto" w:sz="0" w:space="0"/>
          <w:right w:val="none" w:color="auto" w:sz="0" w:space="0"/>
        </w:pBdr>
        <w:wordWrap/>
        <w:adjustRightInd/>
        <w:snapToGrid/>
        <w:spacing w:beforeAutospacing="0" w:after="0" w:afterAutospacing="0" w:line="240" w:lineRule="auto"/>
        <w:ind w:left="0" w:right="0" w:firstLine="480"/>
        <w:jc w:val="left"/>
        <w:rPr>
          <w:rFonts w:hint="eastAsia" w:ascii="微软雅黑" w:hAnsi="微软雅黑" w:eastAsia="微软雅黑" w:cs="微软雅黑"/>
          <w:color w:val="333333"/>
          <w:sz w:val="21"/>
          <w:szCs w:val="21"/>
        </w:rPr>
      </w:pPr>
      <w:r>
        <w:rPr>
          <w:rFonts w:hint="eastAsia" w:ascii="仿宋" w:hAnsi="仿宋" w:eastAsia="仿宋" w:cs="仿宋"/>
          <w:caps w:val="0"/>
          <w:color w:val="333333"/>
          <w:spacing w:val="0"/>
          <w:kern w:val="0"/>
          <w:sz w:val="24"/>
          <w:szCs w:val="24"/>
          <w:shd w:val="clear" w:color="070000" w:fill="FFFFFF"/>
          <w:lang w:val="en-US" w:eastAsia="zh-CN"/>
        </w:rPr>
        <w:t>本理财产品业绩比较基准不构成对投资收益的承诺或担保。投资组合可能发生损失，在最不利的情况下，本理财产品的本金及收益可能全部损失。</w:t>
      </w:r>
    </w:p>
    <w:p>
      <w:pPr>
        <w:widowControl/>
        <w:pBdr>
          <w:top w:val="none" w:color="auto" w:sz="0" w:space="0"/>
          <w:left w:val="none" w:color="auto" w:sz="0" w:space="0"/>
          <w:bottom w:val="none" w:color="auto" w:sz="0" w:space="0"/>
          <w:right w:val="none" w:color="auto" w:sz="0" w:space="0"/>
        </w:pBdr>
        <w:wordWrap/>
        <w:adjustRightInd/>
        <w:snapToGrid/>
        <w:spacing w:beforeAutospacing="0" w:after="0" w:afterAutospacing="0" w:line="240" w:lineRule="auto"/>
        <w:ind w:left="0" w:right="0" w:firstLine="360"/>
        <w:jc w:val="left"/>
        <w:rPr>
          <w:rFonts w:hint="eastAsia" w:ascii="微软雅黑" w:hAnsi="微软雅黑" w:eastAsia="微软雅黑" w:cs="微软雅黑"/>
          <w:color w:val="333333"/>
          <w:sz w:val="21"/>
          <w:szCs w:val="21"/>
        </w:rPr>
      </w:pPr>
      <w:r>
        <w:rPr>
          <w:rFonts w:hint="eastAsia" w:ascii="仿宋" w:hAnsi="仿宋" w:eastAsia="仿宋" w:cs="仿宋"/>
          <w:caps w:val="0"/>
          <w:color w:val="333333"/>
          <w:spacing w:val="0"/>
          <w:kern w:val="0"/>
          <w:sz w:val="24"/>
          <w:szCs w:val="24"/>
          <w:shd w:val="clear" w:color="070000" w:fill="FFFFFF"/>
          <w:lang w:val="en-US" w:eastAsia="zh-CN"/>
        </w:rPr>
        <w:t>（二）认购</w:t>
      </w:r>
    </w:p>
    <w:p>
      <w:pPr>
        <w:widowControl/>
        <w:pBdr>
          <w:top w:val="none" w:color="auto" w:sz="0" w:space="0"/>
          <w:left w:val="none" w:color="auto" w:sz="0" w:space="0"/>
          <w:bottom w:val="none" w:color="auto" w:sz="0" w:space="0"/>
          <w:right w:val="none" w:color="auto" w:sz="0" w:space="0"/>
        </w:pBdr>
        <w:wordWrap/>
        <w:adjustRightInd/>
        <w:snapToGrid/>
        <w:spacing w:beforeAutospacing="0" w:after="0" w:afterAutospacing="0" w:line="240" w:lineRule="auto"/>
        <w:ind w:left="0" w:right="0" w:firstLine="480"/>
        <w:jc w:val="left"/>
        <w:rPr>
          <w:rFonts w:hint="eastAsia" w:ascii="微软雅黑" w:hAnsi="微软雅黑" w:eastAsia="微软雅黑" w:cs="微软雅黑"/>
          <w:color w:val="333333"/>
          <w:sz w:val="21"/>
          <w:szCs w:val="21"/>
        </w:rPr>
      </w:pPr>
      <w:r>
        <w:rPr>
          <w:rFonts w:hint="eastAsia" w:ascii="仿宋" w:hAnsi="仿宋" w:eastAsia="仿宋" w:cs="仿宋"/>
          <w:caps w:val="0"/>
          <w:color w:val="333333"/>
          <w:spacing w:val="0"/>
          <w:kern w:val="0"/>
          <w:sz w:val="24"/>
          <w:szCs w:val="24"/>
          <w:shd w:val="clear" w:color="070000" w:fill="FFFFFF"/>
          <w:lang w:val="en-US" w:eastAsia="zh-CN"/>
        </w:rPr>
        <w:t>1、产品认购期为2019年9月5日-2019年9月19日，长沙农商银行有权提前结束认购并相应调整相关日期。</w:t>
      </w:r>
    </w:p>
    <w:p>
      <w:pPr>
        <w:widowControl/>
        <w:pBdr>
          <w:top w:val="none" w:color="auto" w:sz="0" w:space="0"/>
          <w:left w:val="none" w:color="auto" w:sz="0" w:space="0"/>
          <w:bottom w:val="none" w:color="auto" w:sz="0" w:space="0"/>
          <w:right w:val="none" w:color="auto" w:sz="0" w:space="0"/>
        </w:pBdr>
        <w:wordWrap/>
        <w:adjustRightInd/>
        <w:snapToGrid/>
        <w:spacing w:beforeAutospacing="0" w:after="0" w:afterAutospacing="0" w:line="240" w:lineRule="auto"/>
        <w:ind w:left="0" w:right="0" w:firstLine="480"/>
        <w:jc w:val="left"/>
        <w:rPr>
          <w:rFonts w:hint="eastAsia" w:ascii="微软雅黑" w:hAnsi="微软雅黑" w:eastAsia="微软雅黑" w:cs="微软雅黑"/>
          <w:color w:val="333333"/>
          <w:sz w:val="21"/>
          <w:szCs w:val="21"/>
        </w:rPr>
      </w:pPr>
      <w:r>
        <w:rPr>
          <w:rFonts w:hint="eastAsia" w:ascii="仿宋" w:hAnsi="仿宋" w:eastAsia="仿宋" w:cs="仿宋"/>
          <w:caps w:val="0"/>
          <w:color w:val="333333"/>
          <w:spacing w:val="0"/>
          <w:kern w:val="0"/>
          <w:sz w:val="24"/>
          <w:szCs w:val="24"/>
          <w:shd w:val="clear" w:color="070000" w:fill="FFFFFF"/>
          <w:lang w:val="en-US" w:eastAsia="zh-CN"/>
        </w:rPr>
        <w:t>2、认购份额=认购金额/1元（初始单位净值），认购起点金额为1万元，以1元的整数倍递增。产品认购期仅对个人投资者开放，单一个人投资者累计认购金额不得超过500万元。</w:t>
      </w:r>
    </w:p>
    <w:p>
      <w:pPr>
        <w:widowControl/>
        <w:pBdr>
          <w:top w:val="none" w:color="auto" w:sz="0" w:space="0"/>
          <w:left w:val="none" w:color="auto" w:sz="0" w:space="0"/>
          <w:bottom w:val="none" w:color="auto" w:sz="0" w:space="0"/>
          <w:right w:val="none" w:color="auto" w:sz="0" w:space="0"/>
        </w:pBdr>
        <w:wordWrap/>
        <w:adjustRightInd/>
        <w:snapToGrid/>
        <w:spacing w:beforeAutospacing="0" w:after="0" w:afterAutospacing="0" w:line="240" w:lineRule="auto"/>
        <w:ind w:left="0" w:right="0" w:firstLine="360"/>
        <w:jc w:val="left"/>
        <w:rPr>
          <w:rFonts w:hint="eastAsia" w:ascii="微软雅黑" w:hAnsi="微软雅黑" w:eastAsia="微软雅黑" w:cs="微软雅黑"/>
          <w:color w:val="333333"/>
          <w:sz w:val="21"/>
          <w:szCs w:val="21"/>
        </w:rPr>
      </w:pPr>
      <w:r>
        <w:rPr>
          <w:rFonts w:hint="eastAsia" w:ascii="仿宋" w:hAnsi="仿宋" w:eastAsia="仿宋" w:cs="仿宋"/>
          <w:caps w:val="0"/>
          <w:color w:val="333333"/>
          <w:spacing w:val="0"/>
          <w:kern w:val="0"/>
          <w:sz w:val="24"/>
          <w:szCs w:val="24"/>
          <w:shd w:val="clear" w:color="070000" w:fill="FFFFFF"/>
          <w:lang w:val="en-US" w:eastAsia="zh-CN"/>
        </w:rPr>
        <w:t>（三）申购</w:t>
      </w:r>
    </w:p>
    <w:p>
      <w:pPr>
        <w:widowControl/>
        <w:pBdr>
          <w:top w:val="none" w:color="auto" w:sz="0" w:space="0"/>
          <w:left w:val="none" w:color="auto" w:sz="0" w:space="0"/>
          <w:bottom w:val="none" w:color="auto" w:sz="0" w:space="0"/>
          <w:right w:val="none" w:color="auto" w:sz="0" w:space="0"/>
        </w:pBdr>
        <w:wordWrap/>
        <w:adjustRightInd/>
        <w:snapToGrid/>
        <w:spacing w:beforeAutospacing="0" w:after="0" w:afterAutospacing="0" w:line="240" w:lineRule="auto"/>
        <w:ind w:left="0" w:right="0" w:firstLine="480"/>
        <w:jc w:val="left"/>
        <w:rPr>
          <w:rFonts w:hint="eastAsia" w:ascii="微软雅黑" w:hAnsi="微软雅黑" w:eastAsia="微软雅黑" w:cs="微软雅黑"/>
          <w:color w:val="auto"/>
          <w:sz w:val="21"/>
          <w:szCs w:val="21"/>
        </w:rPr>
      </w:pPr>
      <w:r>
        <w:rPr>
          <w:rFonts w:hint="eastAsia" w:ascii="仿宋" w:hAnsi="仿宋" w:eastAsia="仿宋" w:cs="仿宋"/>
          <w:caps w:val="0"/>
          <w:color w:val="333333"/>
          <w:spacing w:val="0"/>
          <w:kern w:val="0"/>
          <w:sz w:val="24"/>
          <w:szCs w:val="24"/>
          <w:shd w:val="clear" w:color="070000" w:fill="FFFFFF"/>
          <w:lang w:val="en-US" w:eastAsia="zh-CN"/>
        </w:rPr>
        <w:t>1、投资封闭期结束后，每个开放日投资者可进行主动申购，投资者首次申购金额不得低于1万元（含认购期），以元整数倍追加。</w:t>
      </w:r>
      <w:r>
        <w:rPr>
          <w:rFonts w:hint="eastAsia" w:ascii="仿宋" w:hAnsi="仿宋" w:eastAsia="仿宋" w:cs="仿宋"/>
          <w:b/>
          <w:bCs/>
          <w:caps w:val="0"/>
          <w:color w:val="auto"/>
          <w:spacing w:val="0"/>
          <w:kern w:val="0"/>
          <w:sz w:val="24"/>
          <w:szCs w:val="24"/>
          <w:shd w:val="clear" w:color="090000" w:fill="FFFFFF"/>
          <w:lang w:val="en-US" w:eastAsia="zh-CN"/>
        </w:rPr>
        <w:t>单一投资者产品持有余额不得超过500万元。</w:t>
      </w:r>
      <w:r>
        <w:rPr>
          <w:rFonts w:hint="eastAsia" w:ascii="仿宋" w:hAnsi="仿宋" w:eastAsia="仿宋" w:cs="仿宋"/>
          <w:caps w:val="0"/>
          <w:color w:val="auto"/>
          <w:spacing w:val="0"/>
          <w:kern w:val="0"/>
          <w:sz w:val="24"/>
          <w:szCs w:val="24"/>
          <w:shd w:val="clear" w:color="070000" w:fill="FFFFFF"/>
          <w:lang w:val="en-US" w:eastAsia="zh-CN"/>
        </w:rPr>
        <w:t>开放时间（9:00-15:00）内申购，申购申请后的第一个开放日进行申购确认，并进行扣款；自产品开放日起非开放时间可提出预约申购申请，等同在下一开放时间内的申购申请。</w:t>
      </w:r>
    </w:p>
    <w:p>
      <w:pPr>
        <w:widowControl/>
        <w:pBdr>
          <w:top w:val="none" w:color="auto" w:sz="0" w:space="0"/>
          <w:left w:val="none" w:color="auto" w:sz="0" w:space="0"/>
          <w:bottom w:val="none" w:color="auto" w:sz="0" w:space="0"/>
          <w:right w:val="none" w:color="auto" w:sz="0" w:space="0"/>
        </w:pBdr>
        <w:wordWrap/>
        <w:adjustRightInd/>
        <w:snapToGrid/>
        <w:spacing w:beforeAutospacing="0" w:after="0" w:afterAutospacing="0" w:line="240" w:lineRule="auto"/>
        <w:ind w:left="0" w:right="0" w:firstLine="480"/>
        <w:jc w:val="left"/>
        <w:rPr>
          <w:rFonts w:hint="eastAsia" w:ascii="微软雅黑" w:hAnsi="微软雅黑" w:eastAsia="微软雅黑" w:cs="微软雅黑"/>
          <w:color w:val="auto"/>
          <w:sz w:val="21"/>
          <w:szCs w:val="21"/>
        </w:rPr>
      </w:pPr>
      <w:r>
        <w:rPr>
          <w:rFonts w:hint="eastAsia" w:ascii="仿宋" w:hAnsi="仿宋" w:eastAsia="仿宋" w:cs="仿宋"/>
          <w:caps w:val="0"/>
          <w:color w:val="auto"/>
          <w:spacing w:val="0"/>
          <w:kern w:val="0"/>
          <w:sz w:val="24"/>
          <w:szCs w:val="24"/>
          <w:shd w:val="clear" w:color="070000" w:fill="FFFFFF"/>
          <w:lang w:val="en-US" w:eastAsia="zh-CN"/>
        </w:rPr>
        <w:t>注：本次调整前已持有金额超过500万元的机构投资者无法再次申请购买，除非赎回超出持有余额上限部分金额，并低于500万元后，才能再次申请购买。</w:t>
      </w:r>
    </w:p>
    <w:p>
      <w:pPr>
        <w:widowControl/>
        <w:pBdr>
          <w:top w:val="none" w:color="auto" w:sz="0" w:space="0"/>
          <w:left w:val="none" w:color="auto" w:sz="0" w:space="0"/>
          <w:bottom w:val="none" w:color="auto" w:sz="0" w:space="0"/>
          <w:right w:val="none" w:color="auto" w:sz="0" w:space="0"/>
        </w:pBdr>
        <w:wordWrap/>
        <w:adjustRightInd/>
        <w:snapToGrid/>
        <w:spacing w:beforeAutospacing="0" w:after="0" w:afterAutospacing="0" w:line="240" w:lineRule="auto"/>
        <w:ind w:left="0" w:right="0" w:firstLine="480"/>
        <w:jc w:val="left"/>
        <w:rPr>
          <w:rFonts w:hint="eastAsia" w:ascii="微软雅黑" w:hAnsi="微软雅黑" w:eastAsia="微软雅黑" w:cs="微软雅黑"/>
          <w:color w:val="333333"/>
          <w:sz w:val="21"/>
          <w:szCs w:val="21"/>
        </w:rPr>
      </w:pPr>
      <w:r>
        <w:rPr>
          <w:rFonts w:hint="eastAsia" w:ascii="仿宋" w:hAnsi="仿宋" w:eastAsia="仿宋" w:cs="仿宋"/>
          <w:caps w:val="0"/>
          <w:color w:val="333333"/>
          <w:spacing w:val="0"/>
          <w:kern w:val="0"/>
          <w:sz w:val="24"/>
          <w:szCs w:val="24"/>
          <w:shd w:val="clear" w:color="070000" w:fill="FFFFFF"/>
          <w:lang w:val="en-US" w:eastAsia="zh-CN"/>
        </w:rPr>
        <w:t>2、本产品采用金额申购的方式，即申购以金额申请。</w:t>
      </w:r>
    </w:p>
    <w:p>
      <w:pPr>
        <w:widowControl/>
        <w:pBdr>
          <w:top w:val="none" w:color="auto" w:sz="0" w:space="0"/>
          <w:left w:val="none" w:color="auto" w:sz="0" w:space="0"/>
          <w:bottom w:val="none" w:color="auto" w:sz="0" w:space="0"/>
          <w:right w:val="none" w:color="auto" w:sz="0" w:space="0"/>
        </w:pBdr>
        <w:wordWrap/>
        <w:adjustRightInd/>
        <w:snapToGrid/>
        <w:spacing w:beforeAutospacing="0" w:after="0" w:afterAutospacing="0" w:line="240" w:lineRule="auto"/>
        <w:ind w:left="0" w:right="0" w:firstLine="480"/>
        <w:jc w:val="left"/>
        <w:rPr>
          <w:rFonts w:hint="eastAsia" w:ascii="微软雅黑" w:hAnsi="微软雅黑" w:eastAsia="微软雅黑" w:cs="微软雅黑"/>
          <w:color w:val="333333"/>
          <w:sz w:val="21"/>
          <w:szCs w:val="21"/>
        </w:rPr>
      </w:pPr>
      <w:r>
        <w:rPr>
          <w:rFonts w:hint="eastAsia" w:ascii="仿宋" w:hAnsi="仿宋" w:eastAsia="仿宋" w:cs="仿宋"/>
          <w:caps w:val="0"/>
          <w:color w:val="333333"/>
          <w:spacing w:val="0"/>
          <w:kern w:val="0"/>
          <w:sz w:val="24"/>
          <w:szCs w:val="24"/>
          <w:shd w:val="clear" w:color="070000" w:fill="FFFFFF"/>
          <w:lang w:val="en-US" w:eastAsia="zh-CN"/>
        </w:rPr>
        <w:t>3、申购份额=申购金额/申购申请日产品净值</w:t>
      </w:r>
    </w:p>
    <w:p>
      <w:pPr>
        <w:widowControl/>
        <w:pBdr>
          <w:top w:val="none" w:color="auto" w:sz="0" w:space="0"/>
          <w:left w:val="none" w:color="auto" w:sz="0" w:space="0"/>
          <w:bottom w:val="none" w:color="auto" w:sz="0" w:space="0"/>
          <w:right w:val="none" w:color="auto" w:sz="0" w:space="0"/>
        </w:pBdr>
        <w:wordWrap/>
        <w:adjustRightInd/>
        <w:snapToGrid/>
        <w:spacing w:beforeAutospacing="0" w:after="0" w:afterAutospacing="0" w:line="240" w:lineRule="auto"/>
        <w:ind w:left="0" w:right="0" w:firstLine="480"/>
        <w:jc w:val="left"/>
        <w:rPr>
          <w:rFonts w:hint="eastAsia" w:ascii="微软雅黑" w:hAnsi="微软雅黑" w:eastAsia="微软雅黑" w:cs="微软雅黑"/>
          <w:color w:val="333333"/>
          <w:sz w:val="21"/>
          <w:szCs w:val="21"/>
        </w:rPr>
      </w:pPr>
      <w:r>
        <w:rPr>
          <w:rFonts w:hint="eastAsia" w:ascii="仿宋" w:hAnsi="仿宋" w:eastAsia="仿宋" w:cs="仿宋"/>
          <w:caps w:val="0"/>
          <w:color w:val="333333"/>
          <w:spacing w:val="0"/>
          <w:kern w:val="0"/>
          <w:sz w:val="24"/>
          <w:szCs w:val="24"/>
          <w:shd w:val="clear" w:color="070000" w:fill="FFFFFF"/>
          <w:lang w:val="en-US" w:eastAsia="zh-CN"/>
        </w:rPr>
        <w:t>申购申请日（T日）产品净值于下一个工作日（T+1日）公布</w:t>
      </w:r>
    </w:p>
    <w:p>
      <w:pPr>
        <w:widowControl/>
        <w:pBdr>
          <w:top w:val="none" w:color="auto" w:sz="0" w:space="0"/>
          <w:left w:val="none" w:color="auto" w:sz="0" w:space="0"/>
          <w:bottom w:val="none" w:color="auto" w:sz="0" w:space="0"/>
          <w:right w:val="none" w:color="auto" w:sz="0" w:space="0"/>
        </w:pBdr>
        <w:wordWrap/>
        <w:adjustRightInd/>
        <w:snapToGrid/>
        <w:spacing w:beforeAutospacing="0" w:after="0" w:afterAutospacing="0" w:line="240" w:lineRule="auto"/>
        <w:ind w:left="0" w:right="0" w:firstLine="480"/>
        <w:jc w:val="left"/>
        <w:rPr>
          <w:rFonts w:hint="eastAsia" w:ascii="微软雅黑" w:hAnsi="微软雅黑" w:eastAsia="微软雅黑" w:cs="微软雅黑"/>
          <w:color w:val="333333"/>
          <w:sz w:val="21"/>
          <w:szCs w:val="21"/>
        </w:rPr>
      </w:pPr>
      <w:r>
        <w:rPr>
          <w:rFonts w:hint="eastAsia" w:ascii="仿宋" w:hAnsi="仿宋" w:eastAsia="仿宋" w:cs="仿宋"/>
          <w:caps w:val="0"/>
          <w:color w:val="333333"/>
          <w:spacing w:val="0"/>
          <w:kern w:val="0"/>
          <w:sz w:val="24"/>
          <w:szCs w:val="24"/>
          <w:shd w:val="clear" w:color="070000" w:fill="FFFFFF"/>
          <w:lang w:val="en-US" w:eastAsia="zh-CN"/>
        </w:rPr>
        <w:t>申购份额保留至小数点后2位（四舍五入）。</w:t>
      </w:r>
    </w:p>
    <w:p>
      <w:pPr>
        <w:widowControl/>
        <w:pBdr>
          <w:top w:val="none" w:color="auto" w:sz="0" w:space="0"/>
          <w:left w:val="none" w:color="auto" w:sz="0" w:space="0"/>
          <w:bottom w:val="none" w:color="auto" w:sz="0" w:space="0"/>
          <w:right w:val="none" w:color="auto" w:sz="0" w:space="0"/>
        </w:pBdr>
        <w:wordWrap/>
        <w:adjustRightInd/>
        <w:snapToGrid/>
        <w:spacing w:beforeAutospacing="0" w:after="0" w:afterAutospacing="0" w:line="240" w:lineRule="auto"/>
        <w:ind w:left="0" w:right="0" w:firstLine="480"/>
        <w:jc w:val="left"/>
        <w:rPr>
          <w:rFonts w:hint="eastAsia" w:ascii="微软雅黑" w:hAnsi="微软雅黑" w:eastAsia="微软雅黑" w:cs="微软雅黑"/>
          <w:color w:val="333333"/>
          <w:sz w:val="21"/>
          <w:szCs w:val="21"/>
        </w:rPr>
      </w:pPr>
      <w:r>
        <w:rPr>
          <w:rFonts w:hint="eastAsia" w:ascii="仿宋" w:hAnsi="仿宋" w:eastAsia="仿宋" w:cs="仿宋"/>
          <w:caps w:val="0"/>
          <w:color w:val="333333"/>
          <w:spacing w:val="0"/>
          <w:kern w:val="0"/>
          <w:sz w:val="24"/>
          <w:szCs w:val="24"/>
          <w:shd w:val="clear" w:color="070000" w:fill="FFFFFF"/>
          <w:lang w:val="en-US" w:eastAsia="zh-CN"/>
        </w:rPr>
        <w:t>计算示例：</w:t>
      </w:r>
    </w:p>
    <w:p>
      <w:pPr>
        <w:widowControl/>
        <w:pBdr>
          <w:top w:val="none" w:color="auto" w:sz="0" w:space="0"/>
          <w:left w:val="none" w:color="auto" w:sz="0" w:space="0"/>
          <w:bottom w:val="none" w:color="auto" w:sz="0" w:space="0"/>
          <w:right w:val="none" w:color="auto" w:sz="0" w:space="0"/>
        </w:pBdr>
        <w:wordWrap/>
        <w:adjustRightInd/>
        <w:snapToGrid/>
        <w:spacing w:beforeAutospacing="0" w:after="0" w:afterAutospacing="0" w:line="240" w:lineRule="auto"/>
        <w:ind w:left="0" w:right="0" w:firstLine="480"/>
        <w:jc w:val="left"/>
        <w:rPr>
          <w:rFonts w:hint="eastAsia" w:ascii="微软雅黑" w:hAnsi="微软雅黑" w:eastAsia="微软雅黑" w:cs="微软雅黑"/>
          <w:color w:val="333333"/>
          <w:sz w:val="21"/>
          <w:szCs w:val="21"/>
        </w:rPr>
      </w:pPr>
      <w:r>
        <w:rPr>
          <w:rFonts w:hint="eastAsia" w:ascii="仿宋" w:hAnsi="仿宋" w:eastAsia="仿宋" w:cs="仿宋"/>
          <w:caps w:val="0"/>
          <w:color w:val="333333"/>
          <w:spacing w:val="0"/>
          <w:kern w:val="0"/>
          <w:sz w:val="24"/>
          <w:szCs w:val="24"/>
          <w:shd w:val="clear" w:color="070000" w:fill="FFFFFF"/>
          <w:lang w:val="en-US" w:eastAsia="zh-CN"/>
        </w:rPr>
        <w:t>假设某投资者投资50000元申购本理财产品，于11月9日（工作日、申购申请日）10:00进行申购，银行于11月10日（工作日、申购确认日）进行申购确认，同时，银行于11月10日公布的11月9日产品净值为1.052000，则投资者的申购份额为50000元/1.052000=47528.52份。</w:t>
      </w:r>
    </w:p>
    <w:p>
      <w:pPr>
        <w:widowControl/>
        <w:pBdr>
          <w:top w:val="none" w:color="auto" w:sz="0" w:space="0"/>
          <w:left w:val="none" w:color="auto" w:sz="0" w:space="0"/>
          <w:bottom w:val="none" w:color="auto" w:sz="0" w:space="0"/>
          <w:right w:val="none" w:color="auto" w:sz="0" w:space="0"/>
        </w:pBdr>
        <w:wordWrap/>
        <w:adjustRightInd/>
        <w:snapToGrid/>
        <w:spacing w:beforeAutospacing="0" w:after="0" w:afterAutospacing="0" w:line="240" w:lineRule="auto"/>
        <w:ind w:left="0" w:right="0" w:firstLine="480"/>
        <w:jc w:val="left"/>
        <w:rPr>
          <w:rFonts w:hint="eastAsia" w:ascii="微软雅黑" w:hAnsi="微软雅黑" w:eastAsia="微软雅黑" w:cs="微软雅黑"/>
          <w:color w:val="333333"/>
          <w:sz w:val="21"/>
          <w:szCs w:val="21"/>
        </w:rPr>
      </w:pPr>
      <w:r>
        <w:rPr>
          <w:rFonts w:hint="eastAsia" w:ascii="仿宋" w:hAnsi="仿宋" w:eastAsia="仿宋" w:cs="仿宋"/>
          <w:caps w:val="0"/>
          <w:color w:val="333333"/>
          <w:spacing w:val="0"/>
          <w:kern w:val="0"/>
          <w:sz w:val="24"/>
          <w:szCs w:val="24"/>
          <w:shd w:val="clear" w:color="070000" w:fill="FFFFFF"/>
          <w:lang w:val="en-US" w:eastAsia="zh-CN"/>
        </w:rPr>
        <w:t>4、暂停申购：根据中国假期模式的特殊性，某些特殊时点，本产品需暂停投资者申购，包括但不限于春节、国庆、五一等长假的前一工作日，暂停申购前3个工作日长沙农商银行须在长沙农商银行网站或相关营业网点发布相关消息，具体信息以公告发布为准。</w:t>
      </w:r>
    </w:p>
    <w:p>
      <w:pPr>
        <w:widowControl/>
        <w:pBdr>
          <w:top w:val="none" w:color="auto" w:sz="0" w:space="0"/>
          <w:left w:val="none" w:color="auto" w:sz="0" w:space="0"/>
          <w:bottom w:val="none" w:color="auto" w:sz="0" w:space="0"/>
          <w:right w:val="none" w:color="auto" w:sz="0" w:space="0"/>
        </w:pBdr>
        <w:wordWrap/>
        <w:adjustRightInd/>
        <w:snapToGrid/>
        <w:spacing w:beforeAutospacing="0" w:after="0" w:afterAutospacing="0" w:line="240" w:lineRule="auto"/>
        <w:ind w:left="0" w:right="0" w:firstLine="360"/>
        <w:jc w:val="left"/>
        <w:rPr>
          <w:rFonts w:hint="eastAsia" w:ascii="微软雅黑" w:hAnsi="微软雅黑" w:eastAsia="微软雅黑" w:cs="微软雅黑"/>
          <w:color w:val="333333"/>
          <w:sz w:val="21"/>
          <w:szCs w:val="21"/>
        </w:rPr>
      </w:pPr>
      <w:r>
        <w:rPr>
          <w:rFonts w:hint="eastAsia" w:ascii="仿宋" w:hAnsi="仿宋" w:eastAsia="仿宋" w:cs="仿宋"/>
          <w:caps w:val="0"/>
          <w:color w:val="333333"/>
          <w:spacing w:val="0"/>
          <w:kern w:val="0"/>
          <w:sz w:val="24"/>
          <w:szCs w:val="24"/>
          <w:shd w:val="clear" w:color="070000" w:fill="FFFFFF"/>
          <w:lang w:val="en-US" w:eastAsia="zh-CN"/>
        </w:rPr>
        <w:t>（四）赎回</w:t>
      </w:r>
    </w:p>
    <w:p>
      <w:pPr>
        <w:widowControl/>
        <w:pBdr>
          <w:top w:val="none" w:color="auto" w:sz="0" w:space="0"/>
          <w:left w:val="none" w:color="auto" w:sz="0" w:space="0"/>
          <w:bottom w:val="none" w:color="auto" w:sz="0" w:space="0"/>
          <w:right w:val="none" w:color="auto" w:sz="0" w:space="0"/>
        </w:pBdr>
        <w:wordWrap/>
        <w:adjustRightInd/>
        <w:snapToGrid/>
        <w:spacing w:beforeAutospacing="0" w:after="0" w:afterAutospacing="0" w:line="240" w:lineRule="auto"/>
        <w:ind w:left="0" w:right="0" w:firstLine="480"/>
        <w:jc w:val="left"/>
        <w:rPr>
          <w:rFonts w:hint="eastAsia" w:ascii="微软雅黑" w:hAnsi="微软雅黑" w:eastAsia="微软雅黑" w:cs="微软雅黑"/>
          <w:color w:val="333333"/>
          <w:sz w:val="21"/>
          <w:szCs w:val="21"/>
        </w:rPr>
      </w:pPr>
      <w:r>
        <w:rPr>
          <w:rFonts w:hint="eastAsia" w:ascii="仿宋" w:hAnsi="仿宋" w:eastAsia="仿宋" w:cs="仿宋"/>
          <w:caps w:val="0"/>
          <w:color w:val="333333"/>
          <w:spacing w:val="0"/>
          <w:kern w:val="0"/>
          <w:sz w:val="24"/>
          <w:szCs w:val="24"/>
          <w:shd w:val="clear" w:color="070000" w:fill="FFFFFF"/>
          <w:lang w:val="en-US" w:eastAsia="zh-CN"/>
        </w:rPr>
        <w:t>1、封闭期结束后，投资者可于每个工作日的开放时间内（9:00-15:00）办理赎回业务。长沙农商银行在产品赎回确认日后2个工作日内将投资者应得的赎回资金划转到投资者指定账户，逢中国（除港澳台地区）法定节假日顺延。</w:t>
      </w:r>
    </w:p>
    <w:p>
      <w:pPr>
        <w:widowControl/>
        <w:pBdr>
          <w:top w:val="none" w:color="auto" w:sz="0" w:space="0"/>
          <w:left w:val="none" w:color="auto" w:sz="0" w:space="0"/>
          <w:bottom w:val="none" w:color="auto" w:sz="0" w:space="0"/>
          <w:right w:val="none" w:color="auto" w:sz="0" w:space="0"/>
        </w:pBdr>
        <w:wordWrap/>
        <w:adjustRightInd/>
        <w:snapToGrid/>
        <w:spacing w:beforeAutospacing="0" w:after="0" w:afterAutospacing="0" w:line="240" w:lineRule="auto"/>
        <w:ind w:left="0" w:right="0" w:firstLine="480"/>
        <w:jc w:val="left"/>
        <w:rPr>
          <w:rFonts w:hint="eastAsia" w:ascii="微软雅黑" w:hAnsi="微软雅黑" w:eastAsia="微软雅黑" w:cs="微软雅黑"/>
          <w:color w:val="FF0000"/>
          <w:sz w:val="21"/>
          <w:szCs w:val="21"/>
        </w:rPr>
      </w:pPr>
      <w:r>
        <w:rPr>
          <w:rFonts w:hint="eastAsia" w:ascii="仿宋" w:hAnsi="仿宋" w:eastAsia="仿宋" w:cs="仿宋"/>
          <w:caps w:val="0"/>
          <w:color w:val="333333"/>
          <w:spacing w:val="0"/>
          <w:kern w:val="0"/>
          <w:sz w:val="24"/>
          <w:szCs w:val="24"/>
          <w:shd w:val="clear" w:color="070000" w:fill="FFFFFF"/>
          <w:lang w:val="en-US" w:eastAsia="zh-CN"/>
        </w:rPr>
        <w:t>2、本产品采用份额赎回的方式，即赎回以份额申请</w:t>
      </w:r>
      <w:r>
        <w:rPr>
          <w:rFonts w:hint="eastAsia" w:ascii="仿宋" w:hAnsi="仿宋" w:eastAsia="仿宋" w:cs="仿宋"/>
          <w:caps w:val="0"/>
          <w:color w:val="auto"/>
          <w:spacing w:val="0"/>
          <w:kern w:val="0"/>
          <w:sz w:val="24"/>
          <w:szCs w:val="24"/>
          <w:shd w:val="clear" w:color="070000" w:fill="FFFFFF"/>
          <w:lang w:val="en-US" w:eastAsia="zh-CN"/>
        </w:rPr>
        <w:t>。</w:t>
      </w:r>
    </w:p>
    <w:p>
      <w:pPr>
        <w:widowControl/>
        <w:pBdr>
          <w:top w:val="none" w:color="auto" w:sz="0" w:space="0"/>
          <w:left w:val="none" w:color="auto" w:sz="0" w:space="0"/>
          <w:bottom w:val="none" w:color="auto" w:sz="0" w:space="0"/>
          <w:right w:val="none" w:color="auto" w:sz="0" w:space="0"/>
        </w:pBdr>
        <w:wordWrap/>
        <w:adjustRightInd/>
        <w:snapToGrid/>
        <w:spacing w:beforeAutospacing="0" w:after="0" w:afterAutospacing="0" w:line="240" w:lineRule="auto"/>
        <w:ind w:left="0" w:right="0" w:firstLine="480"/>
        <w:jc w:val="left"/>
        <w:rPr>
          <w:rFonts w:hint="eastAsia" w:ascii="微软雅黑" w:hAnsi="微软雅黑" w:eastAsia="微软雅黑" w:cs="微软雅黑"/>
          <w:color w:val="333333"/>
          <w:sz w:val="21"/>
          <w:szCs w:val="21"/>
        </w:rPr>
      </w:pPr>
      <w:r>
        <w:rPr>
          <w:rFonts w:hint="eastAsia" w:ascii="仿宋" w:hAnsi="仿宋" w:eastAsia="仿宋" w:cs="仿宋"/>
          <w:caps w:val="0"/>
          <w:color w:val="333333"/>
          <w:spacing w:val="0"/>
          <w:kern w:val="0"/>
          <w:sz w:val="24"/>
          <w:szCs w:val="24"/>
          <w:shd w:val="clear" w:color="070000" w:fill="FFFFFF"/>
          <w:lang w:val="en-US" w:eastAsia="zh-CN"/>
        </w:rPr>
        <w:t>3、赎回金额=赎回份额×赎回申请日产品净值</w:t>
      </w:r>
    </w:p>
    <w:p>
      <w:pPr>
        <w:widowControl/>
        <w:pBdr>
          <w:top w:val="none" w:color="auto" w:sz="0" w:space="0"/>
          <w:left w:val="none" w:color="auto" w:sz="0" w:space="0"/>
          <w:bottom w:val="none" w:color="auto" w:sz="0" w:space="0"/>
          <w:right w:val="none" w:color="auto" w:sz="0" w:space="0"/>
        </w:pBdr>
        <w:wordWrap/>
        <w:adjustRightInd/>
        <w:snapToGrid/>
        <w:spacing w:beforeAutospacing="0" w:after="0" w:afterAutospacing="0" w:line="240" w:lineRule="auto"/>
        <w:ind w:left="0" w:right="0" w:firstLine="480"/>
        <w:jc w:val="left"/>
        <w:rPr>
          <w:rFonts w:hint="eastAsia" w:ascii="微软雅黑" w:hAnsi="微软雅黑" w:eastAsia="微软雅黑" w:cs="微软雅黑"/>
          <w:color w:val="333333"/>
          <w:sz w:val="21"/>
          <w:szCs w:val="21"/>
        </w:rPr>
      </w:pPr>
      <w:r>
        <w:rPr>
          <w:rFonts w:hint="eastAsia" w:ascii="仿宋" w:hAnsi="仿宋" w:eastAsia="仿宋" w:cs="仿宋"/>
          <w:caps w:val="0"/>
          <w:color w:val="333333"/>
          <w:spacing w:val="0"/>
          <w:kern w:val="0"/>
          <w:sz w:val="24"/>
          <w:szCs w:val="24"/>
          <w:shd w:val="clear" w:color="070000" w:fill="FFFFFF"/>
          <w:lang w:val="en-US" w:eastAsia="zh-CN"/>
        </w:rPr>
        <w:t>赎回申请日（T日）产品净值于下一个工作日（T+1日）公布</w:t>
      </w:r>
    </w:p>
    <w:p>
      <w:pPr>
        <w:widowControl/>
        <w:pBdr>
          <w:top w:val="none" w:color="auto" w:sz="0" w:space="0"/>
          <w:left w:val="none" w:color="auto" w:sz="0" w:space="0"/>
          <w:bottom w:val="none" w:color="auto" w:sz="0" w:space="0"/>
          <w:right w:val="none" w:color="auto" w:sz="0" w:space="0"/>
        </w:pBdr>
        <w:wordWrap/>
        <w:adjustRightInd/>
        <w:snapToGrid/>
        <w:spacing w:beforeAutospacing="0" w:after="0" w:afterAutospacing="0" w:line="240" w:lineRule="auto"/>
        <w:ind w:left="0" w:right="0" w:firstLine="480"/>
        <w:jc w:val="left"/>
        <w:rPr>
          <w:rFonts w:hint="eastAsia" w:ascii="微软雅黑" w:hAnsi="微软雅黑" w:eastAsia="微软雅黑" w:cs="微软雅黑"/>
          <w:color w:val="333333"/>
          <w:sz w:val="21"/>
          <w:szCs w:val="21"/>
        </w:rPr>
      </w:pPr>
      <w:r>
        <w:rPr>
          <w:rFonts w:hint="eastAsia" w:ascii="仿宋" w:hAnsi="仿宋" w:eastAsia="仿宋" w:cs="仿宋"/>
          <w:caps w:val="0"/>
          <w:color w:val="333333"/>
          <w:spacing w:val="0"/>
          <w:kern w:val="0"/>
          <w:sz w:val="24"/>
          <w:szCs w:val="24"/>
          <w:shd w:val="clear" w:color="070000" w:fill="FFFFFF"/>
          <w:lang w:val="en-US" w:eastAsia="zh-CN"/>
        </w:rPr>
        <w:t>赎回费=赎回金额×赎回费率（目前为0）</w:t>
      </w:r>
    </w:p>
    <w:p>
      <w:pPr>
        <w:widowControl/>
        <w:pBdr>
          <w:top w:val="none" w:color="auto" w:sz="0" w:space="0"/>
          <w:left w:val="none" w:color="auto" w:sz="0" w:space="0"/>
          <w:bottom w:val="none" w:color="auto" w:sz="0" w:space="0"/>
          <w:right w:val="none" w:color="auto" w:sz="0" w:space="0"/>
        </w:pBdr>
        <w:wordWrap/>
        <w:adjustRightInd/>
        <w:snapToGrid/>
        <w:spacing w:beforeAutospacing="0" w:after="0" w:afterAutospacing="0" w:line="240" w:lineRule="auto"/>
        <w:ind w:left="0" w:right="0" w:firstLine="480"/>
        <w:jc w:val="left"/>
        <w:rPr>
          <w:rFonts w:hint="eastAsia" w:ascii="微软雅黑" w:hAnsi="微软雅黑" w:eastAsia="微软雅黑" w:cs="微软雅黑"/>
          <w:color w:val="333333"/>
          <w:sz w:val="21"/>
          <w:szCs w:val="21"/>
        </w:rPr>
      </w:pPr>
      <w:r>
        <w:rPr>
          <w:rFonts w:hint="eastAsia" w:ascii="仿宋" w:hAnsi="仿宋" w:eastAsia="仿宋" w:cs="仿宋"/>
          <w:caps w:val="0"/>
          <w:color w:val="333333"/>
          <w:spacing w:val="0"/>
          <w:kern w:val="0"/>
          <w:sz w:val="24"/>
          <w:szCs w:val="24"/>
          <w:shd w:val="clear" w:color="070000" w:fill="FFFFFF"/>
          <w:lang w:val="en-US" w:eastAsia="zh-CN"/>
        </w:rPr>
        <w:t>投资者应得赎回资金=赎回金额-赎回费</w:t>
      </w:r>
    </w:p>
    <w:p>
      <w:pPr>
        <w:widowControl/>
        <w:pBdr>
          <w:top w:val="none" w:color="auto" w:sz="0" w:space="0"/>
          <w:left w:val="none" w:color="auto" w:sz="0" w:space="0"/>
          <w:bottom w:val="none" w:color="auto" w:sz="0" w:space="0"/>
          <w:right w:val="none" w:color="auto" w:sz="0" w:space="0"/>
        </w:pBdr>
        <w:wordWrap/>
        <w:adjustRightInd/>
        <w:snapToGrid/>
        <w:spacing w:beforeAutospacing="0" w:after="0" w:afterAutospacing="0" w:line="240" w:lineRule="auto"/>
        <w:ind w:left="0" w:right="0" w:firstLine="480"/>
        <w:jc w:val="left"/>
        <w:rPr>
          <w:rFonts w:hint="eastAsia" w:ascii="微软雅黑" w:hAnsi="微软雅黑" w:eastAsia="微软雅黑" w:cs="微软雅黑"/>
          <w:color w:val="333333"/>
          <w:sz w:val="21"/>
          <w:szCs w:val="21"/>
        </w:rPr>
      </w:pPr>
      <w:r>
        <w:rPr>
          <w:rFonts w:hint="eastAsia" w:ascii="仿宋" w:hAnsi="仿宋" w:eastAsia="仿宋" w:cs="仿宋"/>
          <w:caps w:val="0"/>
          <w:color w:val="333333"/>
          <w:spacing w:val="0"/>
          <w:kern w:val="0"/>
          <w:sz w:val="24"/>
          <w:szCs w:val="24"/>
          <w:shd w:val="clear" w:color="070000" w:fill="FFFFFF"/>
          <w:lang w:val="en-US" w:eastAsia="zh-CN"/>
        </w:rPr>
        <w:t>投资者应得赎回资金保留至小数点后2位（四舍五入）</w:t>
      </w:r>
    </w:p>
    <w:p>
      <w:pPr>
        <w:widowControl/>
        <w:pBdr>
          <w:top w:val="none" w:color="auto" w:sz="0" w:space="0"/>
          <w:left w:val="none" w:color="auto" w:sz="0" w:space="0"/>
          <w:bottom w:val="none" w:color="auto" w:sz="0" w:space="0"/>
          <w:right w:val="none" w:color="auto" w:sz="0" w:space="0"/>
        </w:pBdr>
        <w:wordWrap/>
        <w:adjustRightInd/>
        <w:snapToGrid/>
        <w:spacing w:beforeAutospacing="0" w:after="0" w:afterAutospacing="0" w:line="240" w:lineRule="auto"/>
        <w:ind w:left="0" w:right="0" w:firstLine="480"/>
        <w:jc w:val="left"/>
        <w:rPr>
          <w:rFonts w:hint="eastAsia" w:ascii="微软雅黑" w:hAnsi="微软雅黑" w:eastAsia="微软雅黑" w:cs="微软雅黑"/>
          <w:color w:val="333333"/>
          <w:sz w:val="21"/>
          <w:szCs w:val="21"/>
        </w:rPr>
      </w:pPr>
      <w:r>
        <w:rPr>
          <w:rFonts w:hint="eastAsia" w:ascii="仿宋" w:hAnsi="仿宋" w:eastAsia="仿宋" w:cs="仿宋"/>
          <w:caps w:val="0"/>
          <w:color w:val="333333"/>
          <w:spacing w:val="0"/>
          <w:kern w:val="0"/>
          <w:sz w:val="24"/>
          <w:szCs w:val="24"/>
          <w:shd w:val="clear" w:color="070000" w:fill="FFFFFF"/>
          <w:lang w:val="en-US" w:eastAsia="zh-CN"/>
        </w:rPr>
        <w:t>计算示例一：</w:t>
      </w:r>
    </w:p>
    <w:p>
      <w:pPr>
        <w:widowControl/>
        <w:pBdr>
          <w:top w:val="none" w:color="auto" w:sz="0" w:space="0"/>
          <w:left w:val="none" w:color="auto" w:sz="0" w:space="0"/>
          <w:bottom w:val="none" w:color="auto" w:sz="0" w:space="0"/>
          <w:right w:val="none" w:color="auto" w:sz="0" w:space="0"/>
        </w:pBdr>
        <w:wordWrap/>
        <w:adjustRightInd/>
        <w:snapToGrid/>
        <w:spacing w:beforeAutospacing="0" w:after="0" w:afterAutospacing="0" w:line="240" w:lineRule="auto"/>
        <w:ind w:left="0" w:right="0" w:firstLine="480"/>
        <w:jc w:val="left"/>
        <w:rPr>
          <w:rFonts w:hint="eastAsia" w:ascii="微软雅黑" w:hAnsi="微软雅黑" w:eastAsia="微软雅黑" w:cs="微软雅黑"/>
          <w:color w:val="333333"/>
          <w:sz w:val="21"/>
          <w:szCs w:val="21"/>
        </w:rPr>
      </w:pPr>
      <w:r>
        <w:rPr>
          <w:rFonts w:hint="eastAsia" w:ascii="仿宋" w:hAnsi="仿宋" w:eastAsia="仿宋" w:cs="仿宋"/>
          <w:caps w:val="0"/>
          <w:color w:val="333333"/>
          <w:spacing w:val="0"/>
          <w:kern w:val="0"/>
          <w:sz w:val="24"/>
          <w:szCs w:val="24"/>
          <w:shd w:val="clear" w:color="070000" w:fill="FFFFFF"/>
          <w:lang w:val="en-US" w:eastAsia="zh-CN"/>
        </w:rPr>
        <w:t>假设某投资者购买50000份本产品，于11月14日（工作日、赎回申请日）11:00全部赎回，银行于11月15日（工作日、赎回确认日）进行赎回确认，同时，银行于11月15日公布11月14日的产品净值为1.018500，则投资者的赎回金额为50000份×1.018500=50925元，赎回费=0元，投资者应得赎回资金=50925-0=50925元。</w:t>
      </w:r>
    </w:p>
    <w:p>
      <w:pPr>
        <w:widowControl/>
        <w:pBdr>
          <w:top w:val="none" w:color="auto" w:sz="0" w:space="0"/>
          <w:left w:val="none" w:color="auto" w:sz="0" w:space="0"/>
          <w:bottom w:val="none" w:color="auto" w:sz="0" w:space="0"/>
          <w:right w:val="none" w:color="auto" w:sz="0" w:space="0"/>
        </w:pBdr>
        <w:wordWrap/>
        <w:adjustRightInd/>
        <w:snapToGrid/>
        <w:spacing w:beforeAutospacing="0" w:after="0" w:afterAutospacing="0" w:line="240" w:lineRule="auto"/>
        <w:ind w:left="0" w:right="0" w:firstLine="480"/>
        <w:jc w:val="left"/>
        <w:rPr>
          <w:rFonts w:hint="eastAsia" w:ascii="微软雅黑" w:hAnsi="微软雅黑" w:eastAsia="微软雅黑" w:cs="微软雅黑"/>
          <w:color w:val="333333"/>
          <w:sz w:val="21"/>
          <w:szCs w:val="21"/>
        </w:rPr>
      </w:pPr>
      <w:r>
        <w:rPr>
          <w:rFonts w:hint="eastAsia" w:ascii="仿宋" w:hAnsi="仿宋" w:eastAsia="仿宋" w:cs="仿宋"/>
          <w:caps w:val="0"/>
          <w:color w:val="333333"/>
          <w:spacing w:val="0"/>
          <w:kern w:val="0"/>
          <w:sz w:val="24"/>
          <w:szCs w:val="24"/>
          <w:shd w:val="clear" w:color="070000" w:fill="FFFFFF"/>
          <w:lang w:val="en-US" w:eastAsia="zh-CN"/>
        </w:rPr>
        <w:t>计算示例二：</w:t>
      </w:r>
    </w:p>
    <w:p>
      <w:pPr>
        <w:widowControl/>
        <w:pBdr>
          <w:top w:val="none" w:color="auto" w:sz="0" w:space="0"/>
          <w:left w:val="none" w:color="auto" w:sz="0" w:space="0"/>
          <w:bottom w:val="none" w:color="auto" w:sz="0" w:space="0"/>
          <w:right w:val="none" w:color="auto" w:sz="0" w:space="0"/>
        </w:pBdr>
        <w:wordWrap/>
        <w:adjustRightInd/>
        <w:snapToGrid/>
        <w:spacing w:beforeAutospacing="0" w:after="0" w:afterAutospacing="0" w:line="240" w:lineRule="auto"/>
        <w:ind w:left="0" w:right="0" w:firstLine="480"/>
        <w:jc w:val="left"/>
        <w:rPr>
          <w:rFonts w:hint="eastAsia" w:ascii="微软雅黑" w:hAnsi="微软雅黑" w:eastAsia="微软雅黑" w:cs="微软雅黑"/>
          <w:color w:val="333333"/>
          <w:sz w:val="21"/>
          <w:szCs w:val="21"/>
        </w:rPr>
      </w:pPr>
      <w:r>
        <w:rPr>
          <w:rFonts w:hint="eastAsia" w:ascii="仿宋" w:hAnsi="仿宋" w:eastAsia="仿宋" w:cs="仿宋"/>
          <w:caps w:val="0"/>
          <w:color w:val="333333"/>
          <w:spacing w:val="0"/>
          <w:kern w:val="0"/>
          <w:sz w:val="24"/>
          <w:szCs w:val="24"/>
          <w:shd w:val="clear" w:color="070000" w:fill="FFFFFF"/>
          <w:lang w:val="en-US" w:eastAsia="zh-CN"/>
        </w:rPr>
        <w:t>假设某投资者购买50000份本产品，于11月14日（工作日、赎回申请日）11:00全部赎回，银行于11月15日（工作日、赎回确认日）进行赎回确认，同时，银行于11月15日公布11月14日的产品净值为0.996500，则投资者的赎回金额为50000份×0.996500=49825元，赎回费=0元，投资者应得赎回资金=49825-0=49825元。</w:t>
      </w:r>
    </w:p>
    <w:p>
      <w:pPr>
        <w:widowControl/>
        <w:pBdr>
          <w:top w:val="none" w:color="auto" w:sz="0" w:space="0"/>
          <w:left w:val="none" w:color="auto" w:sz="0" w:space="0"/>
          <w:bottom w:val="none" w:color="auto" w:sz="0" w:space="0"/>
          <w:right w:val="none" w:color="auto" w:sz="0" w:space="0"/>
        </w:pBdr>
        <w:wordWrap/>
        <w:adjustRightInd/>
        <w:snapToGrid/>
        <w:spacing w:beforeAutospacing="0" w:after="0" w:afterAutospacing="0" w:line="240" w:lineRule="auto"/>
        <w:ind w:left="0" w:right="0" w:firstLine="480"/>
        <w:jc w:val="left"/>
        <w:rPr>
          <w:rFonts w:hint="eastAsia" w:ascii="微软雅黑" w:hAnsi="微软雅黑" w:eastAsia="微软雅黑" w:cs="微软雅黑"/>
          <w:color w:val="333333"/>
          <w:sz w:val="21"/>
          <w:szCs w:val="21"/>
        </w:rPr>
      </w:pPr>
      <w:r>
        <w:rPr>
          <w:rFonts w:hint="eastAsia" w:ascii="仿宋" w:hAnsi="仿宋" w:eastAsia="仿宋" w:cs="仿宋"/>
          <w:caps w:val="0"/>
          <w:color w:val="333333"/>
          <w:spacing w:val="0"/>
          <w:kern w:val="0"/>
          <w:sz w:val="24"/>
          <w:szCs w:val="24"/>
          <w:shd w:val="clear" w:color="070000" w:fill="FFFFFF"/>
          <w:lang w:val="en-US" w:eastAsia="zh-CN"/>
        </w:rPr>
        <w:t>提示：上述示例采用假设数据计算，仅供参考，并不代表投资者到期实际可获得的理财收益。最不利投资情形下的投资结果是本金和收益为零。</w:t>
      </w:r>
    </w:p>
    <w:p>
      <w:pPr>
        <w:widowControl/>
        <w:pBdr>
          <w:top w:val="none" w:color="auto" w:sz="0" w:space="0"/>
          <w:left w:val="none" w:color="auto" w:sz="0" w:space="0"/>
          <w:bottom w:val="none" w:color="auto" w:sz="0" w:space="0"/>
          <w:right w:val="none" w:color="auto" w:sz="0" w:space="0"/>
        </w:pBdr>
        <w:wordWrap/>
        <w:adjustRightInd/>
        <w:snapToGrid/>
        <w:spacing w:beforeAutospacing="0" w:after="0" w:afterAutospacing="0" w:line="240" w:lineRule="auto"/>
        <w:ind w:left="0" w:right="0" w:firstLine="360"/>
        <w:jc w:val="left"/>
        <w:rPr>
          <w:rFonts w:hint="eastAsia" w:ascii="微软雅黑" w:hAnsi="微软雅黑" w:eastAsia="微软雅黑" w:cs="微软雅黑"/>
          <w:color w:val="333333"/>
          <w:sz w:val="21"/>
          <w:szCs w:val="21"/>
        </w:rPr>
      </w:pPr>
      <w:r>
        <w:rPr>
          <w:rFonts w:hint="eastAsia" w:ascii="仿宋" w:hAnsi="仿宋" w:eastAsia="仿宋" w:cs="仿宋"/>
          <w:caps w:val="0"/>
          <w:color w:val="333333"/>
          <w:spacing w:val="0"/>
          <w:kern w:val="0"/>
          <w:sz w:val="24"/>
          <w:szCs w:val="24"/>
          <w:u w:val="single"/>
          <w:shd w:val="clear" w:color="080000" w:fill="FFFFFF"/>
          <w:lang w:val="en-US" w:eastAsia="zh-CN"/>
        </w:rPr>
        <w:t>（</w:t>
      </w:r>
      <w:r>
        <w:rPr>
          <w:rFonts w:hint="eastAsia" w:ascii="仿宋" w:hAnsi="仿宋" w:eastAsia="仿宋" w:cs="仿宋"/>
          <w:b/>
          <w:bCs/>
          <w:caps w:val="0"/>
          <w:color w:val="333333"/>
          <w:spacing w:val="0"/>
          <w:kern w:val="0"/>
          <w:sz w:val="24"/>
          <w:szCs w:val="24"/>
          <w:u w:val="single"/>
          <w:shd w:val="clear" w:color="0A0000" w:fill="FFFFFF"/>
          <w:lang w:val="en-US" w:eastAsia="zh-CN"/>
        </w:rPr>
        <w:t>测算收益不等于实际收益，投资须谨慎</w:t>
      </w:r>
      <w:r>
        <w:rPr>
          <w:rFonts w:hint="eastAsia" w:ascii="仿宋" w:hAnsi="仿宋" w:eastAsia="仿宋" w:cs="仿宋"/>
          <w:caps w:val="0"/>
          <w:color w:val="333333"/>
          <w:spacing w:val="0"/>
          <w:kern w:val="0"/>
          <w:sz w:val="24"/>
          <w:szCs w:val="24"/>
          <w:u w:val="single"/>
          <w:shd w:val="clear" w:color="080000" w:fill="FFFFFF"/>
          <w:lang w:val="en-US" w:eastAsia="zh-CN"/>
        </w:rPr>
        <w:t>）</w:t>
      </w:r>
    </w:p>
    <w:p>
      <w:pPr>
        <w:widowControl/>
        <w:pBdr>
          <w:top w:val="none" w:color="auto" w:sz="0" w:space="0"/>
          <w:left w:val="none" w:color="auto" w:sz="0" w:space="0"/>
          <w:bottom w:val="none" w:color="auto" w:sz="0" w:space="0"/>
          <w:right w:val="none" w:color="auto" w:sz="0" w:space="0"/>
        </w:pBdr>
        <w:wordWrap/>
        <w:adjustRightInd/>
        <w:snapToGrid/>
        <w:spacing w:beforeAutospacing="0" w:after="0" w:afterAutospacing="0" w:line="240" w:lineRule="auto"/>
        <w:ind w:left="0" w:right="0" w:firstLine="360"/>
        <w:jc w:val="left"/>
        <w:rPr>
          <w:rFonts w:hint="eastAsia" w:ascii="微软雅黑" w:hAnsi="微软雅黑" w:eastAsia="微软雅黑" w:cs="微软雅黑"/>
          <w:color w:val="333333"/>
          <w:sz w:val="21"/>
          <w:szCs w:val="21"/>
        </w:rPr>
      </w:pPr>
      <w:r>
        <w:rPr>
          <w:rFonts w:hint="eastAsia" w:ascii="仿宋" w:hAnsi="仿宋" w:eastAsia="仿宋" w:cs="仿宋"/>
          <w:caps w:val="0"/>
          <w:color w:val="333333"/>
          <w:spacing w:val="0"/>
          <w:kern w:val="0"/>
          <w:sz w:val="24"/>
          <w:szCs w:val="24"/>
          <w:shd w:val="clear" w:color="070000" w:fill="FFFFFF"/>
          <w:lang w:val="en-US" w:eastAsia="zh-CN"/>
        </w:rPr>
        <w:t>（五）巨额赎回</w:t>
      </w:r>
    </w:p>
    <w:p>
      <w:pPr>
        <w:widowControl/>
        <w:pBdr>
          <w:top w:val="none" w:color="auto" w:sz="0" w:space="0"/>
          <w:left w:val="none" w:color="auto" w:sz="0" w:space="0"/>
          <w:bottom w:val="none" w:color="auto" w:sz="0" w:space="0"/>
          <w:right w:val="none" w:color="auto" w:sz="0" w:space="0"/>
        </w:pBdr>
        <w:wordWrap/>
        <w:adjustRightInd/>
        <w:snapToGrid/>
        <w:spacing w:beforeAutospacing="0" w:after="0" w:afterAutospacing="0" w:line="240" w:lineRule="auto"/>
        <w:ind w:left="0" w:right="0" w:firstLine="480"/>
        <w:jc w:val="left"/>
        <w:rPr>
          <w:rFonts w:hint="eastAsia" w:ascii="微软雅黑" w:hAnsi="微软雅黑" w:eastAsia="微软雅黑" w:cs="微软雅黑"/>
          <w:color w:val="333333"/>
          <w:sz w:val="21"/>
          <w:szCs w:val="21"/>
        </w:rPr>
      </w:pPr>
      <w:r>
        <w:rPr>
          <w:rFonts w:hint="eastAsia" w:ascii="仿宋" w:hAnsi="仿宋" w:eastAsia="仿宋" w:cs="仿宋"/>
          <w:caps w:val="0"/>
          <w:color w:val="333333"/>
          <w:spacing w:val="0"/>
          <w:kern w:val="0"/>
          <w:sz w:val="24"/>
          <w:szCs w:val="24"/>
          <w:shd w:val="clear" w:color="070000" w:fill="FFFFFF"/>
          <w:lang w:val="en-US" w:eastAsia="zh-CN"/>
        </w:rPr>
        <w:t>1、单个开放日中，本理财产品的产品份额净赎回申请之和超过上一日产品总份额的10%，为巨额赎回。出现巨额赎回时，长沙农商银行可不接受超出部分的赎回申请，但投资者可于之后的第3个开放日重新进行赎回申请。</w:t>
      </w:r>
    </w:p>
    <w:p>
      <w:pPr>
        <w:widowControl/>
        <w:pBdr>
          <w:top w:val="none" w:color="auto" w:sz="0" w:space="0"/>
          <w:left w:val="none" w:color="auto" w:sz="0" w:space="0"/>
          <w:bottom w:val="none" w:color="auto" w:sz="0" w:space="0"/>
          <w:right w:val="none" w:color="auto" w:sz="0" w:space="0"/>
        </w:pBdr>
        <w:wordWrap/>
        <w:adjustRightInd/>
        <w:snapToGrid/>
        <w:spacing w:beforeAutospacing="0" w:after="0" w:afterAutospacing="0" w:line="240" w:lineRule="auto"/>
        <w:ind w:left="0" w:right="0" w:firstLine="480"/>
        <w:jc w:val="left"/>
        <w:rPr>
          <w:rFonts w:hint="eastAsia" w:ascii="微软雅黑" w:hAnsi="微软雅黑" w:eastAsia="微软雅黑" w:cs="微软雅黑"/>
          <w:color w:val="333333"/>
          <w:sz w:val="21"/>
          <w:szCs w:val="21"/>
        </w:rPr>
      </w:pPr>
      <w:r>
        <w:rPr>
          <w:rFonts w:hint="eastAsia" w:ascii="仿宋" w:hAnsi="仿宋" w:eastAsia="仿宋" w:cs="仿宋"/>
          <w:caps w:val="0"/>
          <w:color w:val="333333"/>
          <w:spacing w:val="0"/>
          <w:kern w:val="0"/>
          <w:sz w:val="24"/>
          <w:szCs w:val="24"/>
          <w:shd w:val="clear" w:color="070000" w:fill="FFFFFF"/>
          <w:lang w:val="en-US" w:eastAsia="zh-CN"/>
        </w:rPr>
        <w:t>2、本理财产品连续发生两次（含）以上巨额赎回，长沙农商银行可暂停接受投资者的申购和赎回申请。投资者可根据长沙农商银行披露的开放日重新进行申购和赎回。</w:t>
      </w:r>
    </w:p>
    <w:p>
      <w:pPr>
        <w:widowControl/>
        <w:pBdr>
          <w:top w:val="none" w:color="auto" w:sz="0" w:space="0"/>
          <w:left w:val="none" w:color="auto" w:sz="0" w:space="0"/>
          <w:bottom w:val="none" w:color="auto" w:sz="0" w:space="0"/>
          <w:right w:val="none" w:color="auto" w:sz="0" w:space="0"/>
        </w:pBdr>
        <w:wordWrap/>
        <w:adjustRightInd/>
        <w:snapToGrid/>
        <w:spacing w:beforeAutospacing="0" w:after="0" w:afterAutospacing="0" w:line="240" w:lineRule="auto"/>
        <w:ind w:left="0" w:right="0" w:firstLine="360"/>
        <w:jc w:val="left"/>
        <w:rPr>
          <w:rFonts w:hint="eastAsia" w:ascii="微软雅黑" w:hAnsi="微软雅黑" w:eastAsia="微软雅黑" w:cs="微软雅黑"/>
          <w:color w:val="333333"/>
          <w:sz w:val="21"/>
          <w:szCs w:val="21"/>
        </w:rPr>
      </w:pPr>
      <w:r>
        <w:rPr>
          <w:rFonts w:hint="eastAsia" w:ascii="仿宋" w:hAnsi="仿宋" w:eastAsia="仿宋" w:cs="仿宋"/>
          <w:caps w:val="0"/>
          <w:color w:val="333333"/>
          <w:spacing w:val="0"/>
          <w:kern w:val="0"/>
          <w:sz w:val="24"/>
          <w:szCs w:val="24"/>
          <w:shd w:val="clear" w:color="070000" w:fill="FFFFFF"/>
          <w:lang w:val="en-US" w:eastAsia="zh-CN"/>
        </w:rPr>
        <w:t>（六）提前终止</w:t>
      </w:r>
    </w:p>
    <w:p>
      <w:pPr>
        <w:widowControl/>
        <w:pBdr>
          <w:top w:val="none" w:color="auto" w:sz="0" w:space="0"/>
          <w:left w:val="none" w:color="auto" w:sz="0" w:space="0"/>
          <w:bottom w:val="none" w:color="auto" w:sz="0" w:space="0"/>
          <w:right w:val="none" w:color="auto" w:sz="0" w:space="0"/>
        </w:pBdr>
        <w:wordWrap/>
        <w:adjustRightInd/>
        <w:snapToGrid/>
        <w:spacing w:beforeAutospacing="0" w:after="0" w:afterAutospacing="0" w:line="240" w:lineRule="auto"/>
        <w:ind w:left="0" w:right="0" w:firstLine="480"/>
        <w:jc w:val="left"/>
        <w:rPr>
          <w:rFonts w:hint="eastAsia" w:ascii="微软雅黑" w:hAnsi="微软雅黑" w:eastAsia="微软雅黑" w:cs="微软雅黑"/>
          <w:color w:val="333333"/>
          <w:sz w:val="21"/>
          <w:szCs w:val="21"/>
        </w:rPr>
      </w:pPr>
      <w:r>
        <w:rPr>
          <w:rFonts w:hint="eastAsia" w:ascii="仿宋" w:hAnsi="仿宋" w:eastAsia="仿宋" w:cs="仿宋"/>
          <w:caps w:val="0"/>
          <w:color w:val="333333"/>
          <w:spacing w:val="0"/>
          <w:kern w:val="0"/>
          <w:sz w:val="24"/>
          <w:szCs w:val="24"/>
          <w:shd w:val="clear" w:color="070000" w:fill="FFFFFF"/>
          <w:lang w:val="en-US" w:eastAsia="zh-CN"/>
        </w:rPr>
        <w:t>1、本理财产品存续期内，根据法律或政策规定需终止本理财产品时，或发生银行认为应该提前终止本理财产品的情形时，包括但不限于因不可抗力原因导致理财产品无法继续运作、遇有市场出现剧烈波动、异常风险事件等情形导致理财产品收益出现大幅波动或严重影响理财产品的资金安全等，长沙农商银行有权提前终止本理财产品。</w:t>
      </w:r>
    </w:p>
    <w:p>
      <w:pPr>
        <w:widowControl/>
        <w:pBdr>
          <w:top w:val="none" w:color="auto" w:sz="0" w:space="0"/>
          <w:left w:val="none" w:color="auto" w:sz="0" w:space="0"/>
          <w:bottom w:val="none" w:color="auto" w:sz="0" w:space="0"/>
          <w:right w:val="none" w:color="auto" w:sz="0" w:space="0"/>
        </w:pBdr>
        <w:wordWrap/>
        <w:adjustRightInd/>
        <w:snapToGrid/>
        <w:spacing w:beforeAutospacing="0" w:after="0" w:afterAutospacing="0" w:line="240" w:lineRule="auto"/>
        <w:ind w:left="0" w:right="0" w:firstLine="480"/>
        <w:jc w:val="left"/>
        <w:rPr>
          <w:rFonts w:hint="eastAsia" w:ascii="微软雅黑" w:hAnsi="微软雅黑" w:eastAsia="微软雅黑" w:cs="微软雅黑"/>
          <w:color w:val="333333"/>
          <w:sz w:val="21"/>
          <w:szCs w:val="21"/>
        </w:rPr>
      </w:pPr>
      <w:r>
        <w:rPr>
          <w:rFonts w:hint="eastAsia" w:ascii="仿宋" w:hAnsi="仿宋" w:eastAsia="仿宋" w:cs="仿宋"/>
          <w:caps w:val="0"/>
          <w:color w:val="333333"/>
          <w:spacing w:val="0"/>
          <w:kern w:val="0"/>
          <w:sz w:val="24"/>
          <w:szCs w:val="24"/>
          <w:shd w:val="clear" w:color="070000" w:fill="FFFFFF"/>
          <w:lang w:val="en-US" w:eastAsia="zh-CN"/>
        </w:rPr>
        <w:t>2、长沙农商银行若提前终止本理财产品，将于提前终止日前5个工作日，在长沙农商银行网站或相关营业网点发布相关消息。并于提前终止日后5个工作日内将投资者理财资金划入投资者指定资金账户。提前终止日至资金实际到账日之间，投资者资金不计息。</w:t>
      </w:r>
    </w:p>
    <w:p>
      <w:pPr>
        <w:widowControl/>
        <w:pBdr>
          <w:top w:val="none" w:color="auto" w:sz="0" w:space="0"/>
          <w:left w:val="none" w:color="auto" w:sz="0" w:space="0"/>
          <w:bottom w:val="none" w:color="auto" w:sz="0" w:space="0"/>
          <w:right w:val="none" w:color="auto" w:sz="0" w:space="0"/>
        </w:pBdr>
        <w:wordWrap/>
        <w:adjustRightInd/>
        <w:snapToGrid/>
        <w:spacing w:beforeAutospacing="0" w:after="0" w:afterAutospacing="0" w:line="240" w:lineRule="auto"/>
        <w:ind w:left="0" w:right="0" w:firstLine="482" w:firstLineChars="200"/>
        <w:jc w:val="left"/>
        <w:rPr>
          <w:rFonts w:hint="eastAsia" w:ascii="微软雅黑" w:hAnsi="微软雅黑" w:eastAsia="微软雅黑" w:cs="微软雅黑"/>
          <w:color w:val="333333"/>
          <w:sz w:val="21"/>
          <w:szCs w:val="21"/>
        </w:rPr>
      </w:pPr>
      <w:r>
        <w:rPr>
          <w:rFonts w:hint="eastAsia" w:ascii="仿宋" w:hAnsi="仿宋" w:eastAsia="仿宋" w:cs="仿宋"/>
          <w:b/>
          <w:bCs/>
          <w:caps w:val="0"/>
          <w:color w:val="333333"/>
          <w:spacing w:val="0"/>
          <w:kern w:val="0"/>
          <w:sz w:val="24"/>
          <w:szCs w:val="24"/>
          <w:shd w:val="clear" w:color="090000" w:fill="FFFFFF"/>
          <w:lang w:val="en-US" w:eastAsia="zh-CN"/>
        </w:rPr>
        <w:t>四、投资方向范围及比例</w:t>
      </w:r>
    </w:p>
    <w:p>
      <w:pPr>
        <w:widowControl/>
        <w:pBdr>
          <w:top w:val="none" w:color="auto" w:sz="0" w:space="0"/>
          <w:left w:val="none" w:color="auto" w:sz="0" w:space="0"/>
          <w:bottom w:val="none" w:color="auto" w:sz="0" w:space="0"/>
          <w:right w:val="none" w:color="auto" w:sz="0" w:space="0"/>
        </w:pBdr>
        <w:wordWrap/>
        <w:adjustRightInd/>
        <w:snapToGrid/>
        <w:spacing w:beforeAutospacing="0" w:after="0" w:afterAutospacing="0" w:line="240" w:lineRule="auto"/>
        <w:ind w:left="0" w:right="0" w:firstLine="480"/>
        <w:jc w:val="left"/>
        <w:rPr>
          <w:rFonts w:hint="eastAsia" w:ascii="微软雅黑" w:hAnsi="微软雅黑" w:eastAsia="微软雅黑" w:cs="微软雅黑"/>
          <w:color w:val="333333"/>
          <w:sz w:val="21"/>
          <w:szCs w:val="21"/>
        </w:rPr>
      </w:pPr>
      <w:r>
        <w:rPr>
          <w:rFonts w:hint="eastAsia" w:ascii="仿宋" w:hAnsi="仿宋" w:eastAsia="仿宋" w:cs="仿宋"/>
          <w:caps w:val="0"/>
          <w:color w:val="333333"/>
          <w:spacing w:val="0"/>
          <w:kern w:val="0"/>
          <w:sz w:val="24"/>
          <w:szCs w:val="24"/>
          <w:shd w:val="clear" w:color="070000" w:fill="FFFFFF"/>
          <w:lang w:val="en-US" w:eastAsia="zh-CN"/>
        </w:rPr>
        <w:t>本理财产品由长沙农商银行负责管理，本理财产品募集的资金主要投资于:</w:t>
      </w:r>
    </w:p>
    <w:p>
      <w:pPr>
        <w:widowControl/>
        <w:pBdr>
          <w:top w:val="none" w:color="auto" w:sz="0" w:space="0"/>
          <w:left w:val="none" w:color="auto" w:sz="0" w:space="0"/>
          <w:bottom w:val="none" w:color="auto" w:sz="0" w:space="0"/>
          <w:right w:val="none" w:color="auto" w:sz="0" w:space="0"/>
        </w:pBdr>
        <w:wordWrap/>
        <w:adjustRightInd/>
        <w:snapToGrid/>
        <w:spacing w:beforeAutospacing="0" w:after="0" w:afterAutospacing="0" w:line="240" w:lineRule="auto"/>
        <w:ind w:left="0" w:right="0" w:firstLine="480"/>
        <w:jc w:val="left"/>
        <w:rPr>
          <w:rFonts w:hint="eastAsia" w:ascii="微软雅黑" w:hAnsi="微软雅黑" w:eastAsia="微软雅黑" w:cs="微软雅黑"/>
          <w:color w:val="333333"/>
          <w:sz w:val="21"/>
          <w:szCs w:val="21"/>
        </w:rPr>
      </w:pPr>
      <w:r>
        <w:rPr>
          <w:rFonts w:hint="eastAsia" w:ascii="仿宋" w:hAnsi="仿宋" w:eastAsia="仿宋" w:cs="仿宋"/>
          <w:caps w:val="0"/>
          <w:color w:val="333333"/>
          <w:spacing w:val="0"/>
          <w:kern w:val="0"/>
          <w:sz w:val="24"/>
          <w:szCs w:val="24"/>
          <w:shd w:val="clear" w:color="070000" w:fill="FFFFFF"/>
          <w:lang w:val="en-US" w:eastAsia="zh-CN"/>
        </w:rPr>
        <w:t>现金、银行存款、债券回购、同业存单、国债、地方政府债券、中央银行票据、政策性金融债、政府机构债券、金融债券、大额存单、AA+及以上级公司信用类债券和资产支持证券、公募证券投资基金以及国务院银行业监督管理机构认可的其他资产，其中投资于现金、存款、债券等债权类资产比例不低于80%。</w:t>
      </w:r>
    </w:p>
    <w:p>
      <w:pPr>
        <w:widowControl/>
        <w:pBdr>
          <w:top w:val="none" w:color="auto" w:sz="0" w:space="0"/>
          <w:left w:val="none" w:color="auto" w:sz="0" w:space="0"/>
          <w:bottom w:val="none" w:color="auto" w:sz="0" w:space="0"/>
          <w:right w:val="none" w:color="auto" w:sz="0" w:space="0"/>
        </w:pBdr>
        <w:wordWrap/>
        <w:adjustRightInd/>
        <w:snapToGrid/>
        <w:spacing w:beforeAutospacing="0" w:after="0" w:afterAutospacing="0" w:line="240" w:lineRule="auto"/>
        <w:ind w:left="0" w:right="0" w:firstLine="480"/>
        <w:jc w:val="left"/>
        <w:rPr>
          <w:rFonts w:hint="eastAsia" w:ascii="微软雅黑" w:hAnsi="微软雅黑" w:eastAsia="微软雅黑" w:cs="微软雅黑"/>
          <w:color w:val="333333"/>
          <w:sz w:val="21"/>
          <w:szCs w:val="21"/>
        </w:rPr>
      </w:pPr>
      <w:r>
        <w:rPr>
          <w:rFonts w:hint="eastAsia" w:ascii="仿宋" w:hAnsi="仿宋" w:eastAsia="仿宋" w:cs="仿宋"/>
          <w:caps w:val="0"/>
          <w:color w:val="333333"/>
          <w:spacing w:val="0"/>
          <w:kern w:val="0"/>
          <w:sz w:val="24"/>
          <w:szCs w:val="24"/>
          <w:shd w:val="clear" w:color="070000" w:fill="FFFFFF"/>
          <w:lang w:val="en-US" w:eastAsia="zh-CN"/>
        </w:rPr>
        <w:t>本产品的杠杆比率不超过120%，发生巨额赎回、连续3个交易日累计赎回20%以上或者连续5个交易日累计赎回30%以上的情形除外，非主观因素突破比例限制的，应在10个交易日调整至符合要求。</w:t>
      </w:r>
    </w:p>
    <w:p>
      <w:pPr>
        <w:widowControl/>
        <w:pBdr>
          <w:top w:val="none" w:color="auto" w:sz="0" w:space="0"/>
          <w:left w:val="none" w:color="auto" w:sz="0" w:space="0"/>
          <w:bottom w:val="none" w:color="auto" w:sz="0" w:space="0"/>
          <w:right w:val="none" w:color="auto" w:sz="0" w:space="0"/>
        </w:pBdr>
        <w:wordWrap/>
        <w:adjustRightInd/>
        <w:snapToGrid/>
        <w:spacing w:beforeAutospacing="0" w:after="0" w:afterAutospacing="0" w:line="240" w:lineRule="auto"/>
        <w:ind w:left="0" w:right="0" w:firstLine="482" w:firstLineChars="200"/>
        <w:jc w:val="left"/>
        <w:rPr>
          <w:rFonts w:hint="eastAsia" w:ascii="微软雅黑" w:hAnsi="微软雅黑" w:eastAsia="微软雅黑" w:cs="微软雅黑"/>
          <w:color w:val="333333"/>
          <w:sz w:val="21"/>
          <w:szCs w:val="21"/>
        </w:rPr>
      </w:pPr>
      <w:r>
        <w:rPr>
          <w:rFonts w:hint="eastAsia" w:ascii="仿宋" w:hAnsi="仿宋" w:eastAsia="仿宋" w:cs="仿宋"/>
          <w:b/>
          <w:bCs/>
          <w:caps w:val="0"/>
          <w:color w:val="333333"/>
          <w:spacing w:val="0"/>
          <w:kern w:val="0"/>
          <w:sz w:val="24"/>
          <w:szCs w:val="24"/>
          <w:shd w:val="clear" w:color="090000" w:fill="FFFFFF"/>
          <w:lang w:val="en-US" w:eastAsia="zh-CN"/>
        </w:rPr>
        <w:t>五、理财产品估值</w:t>
      </w:r>
    </w:p>
    <w:p>
      <w:pPr>
        <w:widowControl/>
        <w:pBdr>
          <w:top w:val="none" w:color="auto" w:sz="0" w:space="0"/>
          <w:left w:val="none" w:color="auto" w:sz="0" w:space="0"/>
          <w:bottom w:val="none" w:color="auto" w:sz="0" w:space="0"/>
          <w:right w:val="none" w:color="auto" w:sz="0" w:space="0"/>
        </w:pBdr>
        <w:wordWrap/>
        <w:adjustRightInd/>
        <w:snapToGrid/>
        <w:spacing w:beforeAutospacing="0" w:after="0" w:afterAutospacing="0" w:line="240" w:lineRule="auto"/>
        <w:ind w:left="0" w:right="0" w:firstLine="360"/>
        <w:jc w:val="left"/>
        <w:rPr>
          <w:rFonts w:hint="eastAsia" w:ascii="微软雅黑" w:hAnsi="微软雅黑" w:eastAsia="微软雅黑" w:cs="微软雅黑"/>
          <w:color w:val="333333"/>
          <w:sz w:val="21"/>
          <w:szCs w:val="21"/>
        </w:rPr>
      </w:pPr>
      <w:r>
        <w:rPr>
          <w:rFonts w:hint="eastAsia" w:ascii="仿宋" w:hAnsi="仿宋" w:eastAsia="仿宋" w:cs="仿宋"/>
          <w:caps w:val="0"/>
          <w:color w:val="333333"/>
          <w:spacing w:val="0"/>
          <w:kern w:val="0"/>
          <w:sz w:val="24"/>
          <w:szCs w:val="24"/>
          <w:shd w:val="clear" w:color="070000" w:fill="FFFFFF"/>
          <w:lang w:val="en-US" w:eastAsia="zh-CN"/>
        </w:rPr>
        <w:t>（一）估值日</w:t>
      </w:r>
    </w:p>
    <w:p>
      <w:pPr>
        <w:widowControl/>
        <w:pBdr>
          <w:top w:val="none" w:color="auto" w:sz="0" w:space="0"/>
          <w:left w:val="none" w:color="auto" w:sz="0" w:space="0"/>
          <w:bottom w:val="none" w:color="auto" w:sz="0" w:space="0"/>
          <w:right w:val="none" w:color="auto" w:sz="0" w:space="0"/>
        </w:pBdr>
        <w:wordWrap/>
        <w:adjustRightInd/>
        <w:snapToGrid/>
        <w:spacing w:beforeAutospacing="0" w:after="0" w:afterAutospacing="0" w:line="240" w:lineRule="auto"/>
        <w:ind w:left="0" w:right="0" w:firstLine="480"/>
        <w:jc w:val="left"/>
        <w:rPr>
          <w:rFonts w:hint="eastAsia" w:ascii="微软雅黑" w:hAnsi="微软雅黑" w:eastAsia="微软雅黑" w:cs="微软雅黑"/>
          <w:color w:val="333333"/>
          <w:sz w:val="21"/>
          <w:szCs w:val="21"/>
        </w:rPr>
      </w:pPr>
      <w:r>
        <w:rPr>
          <w:rFonts w:hint="eastAsia" w:ascii="仿宋" w:hAnsi="仿宋" w:eastAsia="仿宋" w:cs="仿宋"/>
          <w:caps w:val="0"/>
          <w:color w:val="333333"/>
          <w:spacing w:val="0"/>
          <w:kern w:val="0"/>
          <w:sz w:val="24"/>
          <w:szCs w:val="24"/>
          <w:shd w:val="clear" w:color="070000" w:fill="FFFFFF"/>
          <w:lang w:val="en-US" w:eastAsia="zh-CN"/>
        </w:rPr>
        <w:t>本理财产品的估值日为法定工作日，所有资管报告里涉及到的报告日如果系非工作日，本行统一采用上一工作日估值数据作为报告日估值数据。</w:t>
      </w:r>
    </w:p>
    <w:p>
      <w:pPr>
        <w:widowControl/>
        <w:pBdr>
          <w:top w:val="none" w:color="auto" w:sz="0" w:space="0"/>
          <w:left w:val="none" w:color="auto" w:sz="0" w:space="0"/>
          <w:bottom w:val="none" w:color="auto" w:sz="0" w:space="0"/>
          <w:right w:val="none" w:color="auto" w:sz="0" w:space="0"/>
        </w:pBdr>
        <w:wordWrap/>
        <w:adjustRightInd/>
        <w:snapToGrid/>
        <w:spacing w:beforeAutospacing="0" w:after="0" w:afterAutospacing="0" w:line="240" w:lineRule="auto"/>
        <w:ind w:left="0" w:right="0" w:firstLine="360"/>
        <w:jc w:val="left"/>
        <w:rPr>
          <w:rFonts w:hint="eastAsia" w:ascii="微软雅黑" w:hAnsi="微软雅黑" w:eastAsia="微软雅黑" w:cs="微软雅黑"/>
          <w:color w:val="333333"/>
          <w:sz w:val="21"/>
          <w:szCs w:val="21"/>
        </w:rPr>
      </w:pPr>
      <w:r>
        <w:rPr>
          <w:rFonts w:hint="eastAsia" w:ascii="仿宋" w:hAnsi="仿宋" w:eastAsia="仿宋" w:cs="仿宋"/>
          <w:caps w:val="0"/>
          <w:color w:val="333333"/>
          <w:spacing w:val="0"/>
          <w:kern w:val="0"/>
          <w:sz w:val="24"/>
          <w:szCs w:val="24"/>
          <w:shd w:val="clear" w:color="070000" w:fill="FFFFFF"/>
          <w:lang w:val="en-US" w:eastAsia="zh-CN"/>
        </w:rPr>
        <w:t>（二）估值对象</w:t>
      </w:r>
    </w:p>
    <w:p>
      <w:pPr>
        <w:widowControl/>
        <w:pBdr>
          <w:top w:val="none" w:color="auto" w:sz="0" w:space="0"/>
          <w:left w:val="none" w:color="auto" w:sz="0" w:space="0"/>
          <w:bottom w:val="none" w:color="auto" w:sz="0" w:space="0"/>
          <w:right w:val="none" w:color="auto" w:sz="0" w:space="0"/>
        </w:pBdr>
        <w:wordWrap/>
        <w:adjustRightInd/>
        <w:snapToGrid/>
        <w:spacing w:beforeAutospacing="0" w:after="0" w:afterAutospacing="0" w:line="240" w:lineRule="auto"/>
        <w:ind w:left="0" w:right="0"/>
        <w:jc w:val="left"/>
        <w:rPr>
          <w:rFonts w:hint="eastAsia" w:ascii="微软雅黑" w:hAnsi="微软雅黑" w:eastAsia="微软雅黑" w:cs="微软雅黑"/>
          <w:color w:val="333333"/>
          <w:sz w:val="21"/>
          <w:szCs w:val="21"/>
        </w:rPr>
      </w:pPr>
      <w:r>
        <w:rPr>
          <w:rFonts w:hint="eastAsia" w:ascii="仿宋" w:hAnsi="仿宋" w:eastAsia="仿宋" w:cs="仿宋"/>
          <w:caps w:val="0"/>
          <w:color w:val="333333"/>
          <w:spacing w:val="0"/>
          <w:kern w:val="0"/>
          <w:sz w:val="24"/>
          <w:szCs w:val="24"/>
          <w:shd w:val="clear" w:color="070000" w:fill="FFFFFF"/>
          <w:lang w:val="en-US" w:eastAsia="zh-CN"/>
        </w:rPr>
        <w:t>    本理财产品所拥有的所有金融资产及金融负债。</w:t>
      </w:r>
    </w:p>
    <w:p>
      <w:pPr>
        <w:widowControl/>
        <w:pBdr>
          <w:top w:val="none" w:color="auto" w:sz="0" w:space="0"/>
          <w:left w:val="none" w:color="auto" w:sz="0" w:space="0"/>
          <w:bottom w:val="none" w:color="auto" w:sz="0" w:space="0"/>
          <w:right w:val="none" w:color="auto" w:sz="0" w:space="0"/>
        </w:pBdr>
        <w:wordWrap/>
        <w:adjustRightInd/>
        <w:snapToGrid/>
        <w:spacing w:beforeAutospacing="0" w:after="0" w:afterAutospacing="0" w:line="240" w:lineRule="auto"/>
        <w:ind w:left="0" w:right="0" w:firstLine="0"/>
        <w:jc w:val="left"/>
        <w:rPr>
          <w:rFonts w:hint="eastAsia" w:ascii="微软雅黑" w:hAnsi="微软雅黑" w:eastAsia="微软雅黑" w:cs="微软雅黑"/>
          <w:color w:val="333333"/>
          <w:sz w:val="21"/>
          <w:szCs w:val="21"/>
        </w:rPr>
      </w:pPr>
      <w:r>
        <w:rPr>
          <w:rFonts w:hint="eastAsia" w:ascii="仿宋" w:hAnsi="仿宋" w:eastAsia="仿宋" w:cs="仿宋"/>
          <w:caps w:val="0"/>
          <w:color w:val="333333"/>
          <w:spacing w:val="0"/>
          <w:kern w:val="0"/>
          <w:sz w:val="24"/>
          <w:szCs w:val="24"/>
          <w:shd w:val="clear" w:color="070000" w:fill="FFFFFF"/>
          <w:lang w:val="en-US" w:eastAsia="zh-CN"/>
        </w:rPr>
        <w:t>（三）估值方法</w:t>
      </w:r>
    </w:p>
    <w:p>
      <w:pPr>
        <w:widowControl/>
        <w:pBdr>
          <w:top w:val="none" w:color="auto" w:sz="0" w:space="0"/>
          <w:left w:val="none" w:color="auto" w:sz="0" w:space="0"/>
          <w:bottom w:val="none" w:color="auto" w:sz="0" w:space="0"/>
          <w:right w:val="none" w:color="auto" w:sz="0" w:space="0"/>
        </w:pBdr>
        <w:wordWrap/>
        <w:adjustRightInd/>
        <w:snapToGrid/>
        <w:spacing w:beforeAutospacing="0" w:after="0" w:afterAutospacing="0" w:line="240" w:lineRule="auto"/>
        <w:ind w:left="0" w:right="0" w:firstLine="480"/>
        <w:jc w:val="left"/>
        <w:rPr>
          <w:rFonts w:hint="eastAsia" w:ascii="微软雅黑" w:hAnsi="微软雅黑" w:eastAsia="微软雅黑" w:cs="微软雅黑"/>
          <w:color w:val="333333"/>
          <w:sz w:val="21"/>
          <w:szCs w:val="21"/>
        </w:rPr>
      </w:pPr>
      <w:r>
        <w:rPr>
          <w:rFonts w:hint="eastAsia" w:ascii="仿宋" w:hAnsi="仿宋" w:eastAsia="仿宋" w:cs="仿宋"/>
          <w:caps w:val="0"/>
          <w:color w:val="333333"/>
          <w:spacing w:val="0"/>
          <w:kern w:val="0"/>
          <w:sz w:val="24"/>
          <w:szCs w:val="24"/>
          <w:shd w:val="clear" w:color="070000" w:fill="FFFFFF"/>
          <w:lang w:val="en-US" w:eastAsia="zh-CN"/>
        </w:rPr>
        <w:t>理财产品所投资各类资产的具体估值方法如下：</w:t>
      </w:r>
    </w:p>
    <w:p>
      <w:pPr>
        <w:widowControl/>
        <w:pBdr>
          <w:top w:val="none" w:color="auto" w:sz="0" w:space="0"/>
          <w:left w:val="none" w:color="auto" w:sz="0" w:space="0"/>
          <w:bottom w:val="none" w:color="auto" w:sz="0" w:space="0"/>
          <w:right w:val="none" w:color="auto" w:sz="0" w:space="0"/>
        </w:pBdr>
        <w:wordWrap/>
        <w:adjustRightInd/>
        <w:snapToGrid/>
        <w:spacing w:beforeAutospacing="0" w:after="0" w:afterAutospacing="0" w:line="240" w:lineRule="auto"/>
        <w:ind w:left="0" w:right="0" w:firstLine="480"/>
        <w:jc w:val="left"/>
        <w:rPr>
          <w:rFonts w:hint="eastAsia" w:ascii="微软雅黑" w:hAnsi="微软雅黑" w:eastAsia="微软雅黑" w:cs="微软雅黑"/>
          <w:color w:val="333333"/>
          <w:sz w:val="21"/>
          <w:szCs w:val="21"/>
        </w:rPr>
      </w:pPr>
      <w:r>
        <w:rPr>
          <w:rFonts w:hint="eastAsia" w:ascii="仿宋" w:hAnsi="仿宋" w:eastAsia="仿宋" w:cs="仿宋"/>
          <w:caps w:val="0"/>
          <w:color w:val="333333"/>
          <w:spacing w:val="0"/>
          <w:kern w:val="0"/>
          <w:sz w:val="24"/>
          <w:szCs w:val="24"/>
          <w:shd w:val="clear" w:color="070000" w:fill="FFFFFF"/>
          <w:lang w:val="en-US" w:eastAsia="zh-CN"/>
        </w:rPr>
        <w:t>1、根据《企业会计准则》、参照《证券投资基金会计核算业务指引》估值，监管部门有最新规定的，从其规定。</w:t>
      </w:r>
    </w:p>
    <w:p>
      <w:pPr>
        <w:widowControl/>
        <w:pBdr>
          <w:top w:val="none" w:color="auto" w:sz="0" w:space="0"/>
          <w:left w:val="none" w:color="auto" w:sz="0" w:space="0"/>
          <w:bottom w:val="none" w:color="auto" w:sz="0" w:space="0"/>
          <w:right w:val="none" w:color="auto" w:sz="0" w:space="0"/>
        </w:pBdr>
        <w:wordWrap/>
        <w:adjustRightInd/>
        <w:snapToGrid/>
        <w:spacing w:beforeAutospacing="0" w:after="0" w:afterAutospacing="0" w:line="240" w:lineRule="auto"/>
        <w:ind w:left="0" w:right="0" w:firstLine="480"/>
        <w:jc w:val="left"/>
        <w:rPr>
          <w:rFonts w:hint="eastAsia" w:ascii="微软雅黑" w:hAnsi="微软雅黑" w:eastAsia="微软雅黑" w:cs="微软雅黑"/>
          <w:color w:val="333333"/>
          <w:sz w:val="21"/>
          <w:szCs w:val="21"/>
        </w:rPr>
      </w:pPr>
      <w:r>
        <w:rPr>
          <w:rFonts w:hint="eastAsia" w:ascii="仿宋" w:hAnsi="仿宋" w:eastAsia="仿宋" w:cs="仿宋"/>
          <w:caps w:val="0"/>
          <w:color w:val="333333"/>
          <w:spacing w:val="0"/>
          <w:kern w:val="0"/>
          <w:sz w:val="24"/>
          <w:szCs w:val="24"/>
          <w:shd w:val="clear" w:color="070000" w:fill="FFFFFF"/>
          <w:lang w:val="en-US" w:eastAsia="zh-CN"/>
        </w:rPr>
        <w:t>2、固定收益类资产估值：</w:t>
      </w:r>
    </w:p>
    <w:p>
      <w:pPr>
        <w:widowControl/>
        <w:pBdr>
          <w:top w:val="none" w:color="auto" w:sz="0" w:space="0"/>
          <w:left w:val="none" w:color="auto" w:sz="0" w:space="0"/>
          <w:bottom w:val="none" w:color="auto" w:sz="0" w:space="0"/>
          <w:right w:val="none" w:color="auto" w:sz="0" w:space="0"/>
        </w:pBdr>
        <w:wordWrap/>
        <w:adjustRightInd/>
        <w:snapToGrid/>
        <w:spacing w:beforeAutospacing="0" w:after="0" w:afterAutospacing="0" w:line="240" w:lineRule="auto"/>
        <w:ind w:left="0" w:right="0" w:firstLine="480"/>
        <w:jc w:val="left"/>
        <w:rPr>
          <w:rFonts w:hint="eastAsia" w:ascii="微软雅黑" w:hAnsi="微软雅黑" w:eastAsia="微软雅黑" w:cs="微软雅黑"/>
          <w:color w:val="333333"/>
          <w:sz w:val="21"/>
          <w:szCs w:val="21"/>
        </w:rPr>
      </w:pPr>
      <w:r>
        <w:rPr>
          <w:rFonts w:hint="eastAsia" w:ascii="仿宋" w:hAnsi="仿宋" w:eastAsia="仿宋" w:cs="仿宋"/>
          <w:caps w:val="0"/>
          <w:color w:val="333333"/>
          <w:spacing w:val="0"/>
          <w:kern w:val="0"/>
          <w:sz w:val="24"/>
          <w:szCs w:val="24"/>
          <w:shd w:val="clear" w:color="070000" w:fill="FFFFFF"/>
          <w:lang w:val="en-US" w:eastAsia="zh-CN"/>
        </w:rPr>
        <w:t>在证券交易所、全国银行间债券市场、中证报价系统、银行业信贷资产登记流转中心交易的债券、资产支持证券等固定收益类产品按照票面利率或协议利率并考虑其买入时的溢价与折价，在剩余存续期内按照实际利率法摊销，每日计提损益。</w:t>
      </w:r>
    </w:p>
    <w:p>
      <w:pPr>
        <w:widowControl/>
        <w:pBdr>
          <w:top w:val="none" w:color="auto" w:sz="0" w:space="0"/>
          <w:left w:val="none" w:color="auto" w:sz="0" w:space="0"/>
          <w:bottom w:val="none" w:color="auto" w:sz="0" w:space="0"/>
          <w:right w:val="none" w:color="auto" w:sz="0" w:space="0"/>
        </w:pBdr>
        <w:wordWrap/>
        <w:adjustRightInd/>
        <w:snapToGrid/>
        <w:spacing w:beforeAutospacing="0" w:after="0" w:afterAutospacing="0" w:line="240" w:lineRule="auto"/>
        <w:ind w:left="0" w:right="0" w:firstLine="480"/>
        <w:jc w:val="left"/>
        <w:rPr>
          <w:rFonts w:hint="eastAsia" w:ascii="微软雅黑" w:hAnsi="微软雅黑" w:eastAsia="微软雅黑" w:cs="微软雅黑"/>
          <w:color w:val="333333"/>
          <w:sz w:val="21"/>
          <w:szCs w:val="21"/>
        </w:rPr>
      </w:pPr>
      <w:r>
        <w:rPr>
          <w:rFonts w:hint="eastAsia" w:ascii="仿宋" w:hAnsi="仿宋" w:eastAsia="仿宋" w:cs="仿宋"/>
          <w:caps w:val="0"/>
          <w:color w:val="333333"/>
          <w:spacing w:val="0"/>
          <w:kern w:val="0"/>
          <w:sz w:val="24"/>
          <w:szCs w:val="24"/>
          <w:shd w:val="clear" w:color="070000" w:fill="FFFFFF"/>
          <w:lang w:val="en-US" w:eastAsia="zh-CN"/>
        </w:rPr>
        <w:t>特定资产管理计划、信托产品、保险资管产品、券商收益凭证、产业基金、委托债权、债权融资计划、银行协议存款、银行定期存款等非标类资产按照成本估值，并定期根据非标类资产发行方提供的预期收益率计提收益。</w:t>
      </w:r>
    </w:p>
    <w:p>
      <w:pPr>
        <w:widowControl/>
        <w:pBdr>
          <w:top w:val="none" w:color="auto" w:sz="0" w:space="0"/>
          <w:left w:val="none" w:color="auto" w:sz="0" w:space="0"/>
          <w:bottom w:val="none" w:color="auto" w:sz="0" w:space="0"/>
          <w:right w:val="none" w:color="auto" w:sz="0" w:space="0"/>
        </w:pBdr>
        <w:wordWrap/>
        <w:adjustRightInd/>
        <w:snapToGrid/>
        <w:spacing w:beforeAutospacing="0" w:after="0" w:afterAutospacing="0" w:line="240" w:lineRule="auto"/>
        <w:ind w:left="0" w:right="0" w:firstLine="480"/>
        <w:jc w:val="left"/>
        <w:rPr>
          <w:rFonts w:hint="eastAsia" w:ascii="微软雅黑" w:hAnsi="微软雅黑" w:eastAsia="微软雅黑" w:cs="微软雅黑"/>
          <w:color w:val="333333"/>
          <w:sz w:val="21"/>
          <w:szCs w:val="21"/>
        </w:rPr>
      </w:pPr>
      <w:r>
        <w:rPr>
          <w:rFonts w:hint="eastAsia" w:ascii="仿宋" w:hAnsi="仿宋" w:eastAsia="仿宋" w:cs="仿宋"/>
          <w:caps w:val="0"/>
          <w:color w:val="333333"/>
          <w:spacing w:val="0"/>
          <w:kern w:val="0"/>
          <w:sz w:val="24"/>
          <w:szCs w:val="24"/>
          <w:shd w:val="clear" w:color="070000" w:fill="FFFFFF"/>
          <w:lang w:val="en-US" w:eastAsia="zh-CN"/>
        </w:rPr>
        <w:t>由于按摊余成本法计价可能会出现被计价对象的其他可参考公允价值指标和摊余成本之间的偏离，为消除或减少因理财计划资产余额的背离导致理财计划产品份额投资者权益的稀释或其他不公平的结果，在实际操作中，投资管理人与托管人将采用估值技术，对理财计划持有的估值对象进行重新评估，即影子定价。</w:t>
      </w:r>
    </w:p>
    <w:p>
      <w:pPr>
        <w:widowControl/>
        <w:pBdr>
          <w:top w:val="none" w:color="auto" w:sz="0" w:space="0"/>
          <w:left w:val="none" w:color="auto" w:sz="0" w:space="0"/>
          <w:bottom w:val="none" w:color="auto" w:sz="0" w:space="0"/>
          <w:right w:val="none" w:color="auto" w:sz="0" w:space="0"/>
        </w:pBdr>
        <w:wordWrap/>
        <w:adjustRightInd/>
        <w:snapToGrid/>
        <w:spacing w:beforeAutospacing="0" w:after="0" w:afterAutospacing="0" w:line="240" w:lineRule="auto"/>
        <w:ind w:left="0" w:right="0" w:firstLine="480"/>
        <w:jc w:val="left"/>
        <w:rPr>
          <w:rFonts w:hint="eastAsia" w:ascii="微软雅黑" w:hAnsi="微软雅黑" w:eastAsia="微软雅黑" w:cs="微软雅黑"/>
          <w:color w:val="333333"/>
          <w:sz w:val="21"/>
          <w:szCs w:val="21"/>
        </w:rPr>
      </w:pPr>
      <w:r>
        <w:rPr>
          <w:rFonts w:hint="eastAsia" w:ascii="仿宋" w:hAnsi="仿宋" w:eastAsia="仿宋" w:cs="仿宋"/>
          <w:caps w:val="0"/>
          <w:color w:val="333333"/>
          <w:spacing w:val="0"/>
          <w:kern w:val="0"/>
          <w:sz w:val="24"/>
          <w:szCs w:val="24"/>
          <w:shd w:val="clear" w:color="070000" w:fill="FFFFFF"/>
          <w:lang w:val="en-US" w:eastAsia="zh-CN"/>
        </w:rPr>
        <w:t>如有确凿证据表明按上述方法进行估值不能客观反映其价值的，投资管理人可根据具体情况与托管人协商确定估值方法。</w:t>
      </w:r>
    </w:p>
    <w:p>
      <w:pPr>
        <w:widowControl/>
        <w:pBdr>
          <w:top w:val="none" w:color="auto" w:sz="0" w:space="0"/>
          <w:left w:val="none" w:color="auto" w:sz="0" w:space="0"/>
          <w:bottom w:val="none" w:color="auto" w:sz="0" w:space="0"/>
          <w:right w:val="none" w:color="auto" w:sz="0" w:space="0"/>
        </w:pBdr>
        <w:wordWrap/>
        <w:adjustRightInd/>
        <w:snapToGrid/>
        <w:spacing w:beforeAutospacing="0" w:after="0" w:afterAutospacing="0" w:line="240" w:lineRule="auto"/>
        <w:ind w:left="0" w:right="0" w:firstLine="480"/>
        <w:jc w:val="left"/>
        <w:rPr>
          <w:rFonts w:hint="eastAsia" w:ascii="微软雅黑" w:hAnsi="微软雅黑" w:eastAsia="微软雅黑" w:cs="微软雅黑"/>
          <w:color w:val="333333"/>
          <w:sz w:val="21"/>
          <w:szCs w:val="21"/>
        </w:rPr>
      </w:pPr>
      <w:r>
        <w:rPr>
          <w:rFonts w:hint="eastAsia" w:ascii="仿宋" w:hAnsi="仿宋" w:eastAsia="仿宋" w:cs="仿宋"/>
          <w:caps w:val="0"/>
          <w:color w:val="333333"/>
          <w:spacing w:val="0"/>
          <w:kern w:val="0"/>
          <w:sz w:val="24"/>
          <w:szCs w:val="24"/>
          <w:shd w:val="clear" w:color="070000" w:fill="FFFFFF"/>
          <w:lang w:val="en-US" w:eastAsia="zh-CN"/>
        </w:rPr>
        <w:t>3、投资证券投资基金的估值方法</w:t>
      </w:r>
    </w:p>
    <w:p>
      <w:pPr>
        <w:widowControl/>
        <w:pBdr>
          <w:top w:val="none" w:color="auto" w:sz="0" w:space="0"/>
          <w:left w:val="none" w:color="auto" w:sz="0" w:space="0"/>
          <w:bottom w:val="none" w:color="auto" w:sz="0" w:space="0"/>
          <w:right w:val="none" w:color="auto" w:sz="0" w:space="0"/>
        </w:pBdr>
        <w:wordWrap/>
        <w:adjustRightInd/>
        <w:snapToGrid/>
        <w:spacing w:beforeAutospacing="0" w:after="0" w:afterAutospacing="0" w:line="240" w:lineRule="auto"/>
        <w:ind w:left="0" w:right="0" w:firstLine="480"/>
        <w:jc w:val="left"/>
        <w:rPr>
          <w:rFonts w:hint="eastAsia" w:ascii="微软雅黑" w:hAnsi="微软雅黑" w:eastAsia="微软雅黑" w:cs="微软雅黑"/>
          <w:color w:val="333333"/>
          <w:sz w:val="21"/>
          <w:szCs w:val="21"/>
        </w:rPr>
      </w:pPr>
      <w:r>
        <w:rPr>
          <w:rFonts w:hint="eastAsia" w:ascii="仿宋" w:hAnsi="仿宋" w:eastAsia="仿宋" w:cs="仿宋"/>
          <w:caps w:val="0"/>
          <w:color w:val="333333"/>
          <w:spacing w:val="0"/>
          <w:kern w:val="0"/>
          <w:sz w:val="24"/>
          <w:szCs w:val="24"/>
          <w:shd w:val="clear" w:color="070000" w:fill="FFFFFF"/>
          <w:lang w:val="en-US" w:eastAsia="zh-CN"/>
        </w:rPr>
        <w:t>持有的交易所上市基金，按估值日其所在证券交易所的收盘价估值；估值日无交易的，以最近交易日的收盘价估值；如果估值日无交易，且最近交易日后经济环境发生了重大变化的，将参考监管机构或行业协会有关规定，或者类似投资品种的现行市价及重大变化因素，调整最近交易日收盘价，确定公允价值进行估值；</w:t>
      </w:r>
    </w:p>
    <w:p>
      <w:pPr>
        <w:widowControl/>
        <w:pBdr>
          <w:top w:val="none" w:color="auto" w:sz="0" w:space="0"/>
          <w:left w:val="none" w:color="auto" w:sz="0" w:space="0"/>
          <w:bottom w:val="none" w:color="auto" w:sz="0" w:space="0"/>
          <w:right w:val="none" w:color="auto" w:sz="0" w:space="0"/>
        </w:pBdr>
        <w:wordWrap/>
        <w:adjustRightInd/>
        <w:snapToGrid/>
        <w:spacing w:beforeAutospacing="0" w:after="0" w:afterAutospacing="0" w:line="240" w:lineRule="auto"/>
        <w:ind w:left="0" w:right="0" w:firstLine="480"/>
        <w:jc w:val="left"/>
        <w:rPr>
          <w:rFonts w:hint="eastAsia" w:ascii="微软雅黑" w:hAnsi="微软雅黑" w:eastAsia="微软雅黑" w:cs="微软雅黑"/>
          <w:color w:val="333333"/>
          <w:sz w:val="21"/>
          <w:szCs w:val="21"/>
        </w:rPr>
      </w:pPr>
      <w:r>
        <w:rPr>
          <w:rFonts w:hint="eastAsia" w:ascii="仿宋" w:hAnsi="仿宋" w:eastAsia="仿宋" w:cs="仿宋"/>
          <w:caps w:val="0"/>
          <w:color w:val="333333"/>
          <w:spacing w:val="0"/>
          <w:kern w:val="0"/>
          <w:sz w:val="24"/>
          <w:szCs w:val="24"/>
          <w:shd w:val="clear" w:color="070000" w:fill="FFFFFF"/>
          <w:lang w:val="en-US" w:eastAsia="zh-CN"/>
        </w:rPr>
        <w:t>持有的场外基金，按估值日前一交易日的基金份额净值估值；估值日前一交易日基金份额净值无公布的，按此前最近交易日的基金份额净值估值；</w:t>
      </w:r>
    </w:p>
    <w:p>
      <w:pPr>
        <w:widowControl/>
        <w:pBdr>
          <w:top w:val="none" w:color="auto" w:sz="0" w:space="0"/>
          <w:left w:val="none" w:color="auto" w:sz="0" w:space="0"/>
          <w:bottom w:val="none" w:color="auto" w:sz="0" w:space="0"/>
          <w:right w:val="none" w:color="auto" w:sz="0" w:space="0"/>
        </w:pBdr>
        <w:wordWrap/>
        <w:adjustRightInd/>
        <w:snapToGrid/>
        <w:spacing w:beforeAutospacing="0" w:after="0" w:afterAutospacing="0" w:line="240" w:lineRule="auto"/>
        <w:ind w:left="0" w:right="0" w:firstLine="480"/>
        <w:jc w:val="left"/>
        <w:rPr>
          <w:rFonts w:hint="eastAsia" w:ascii="微软雅黑" w:hAnsi="微软雅黑" w:eastAsia="微软雅黑" w:cs="微软雅黑"/>
          <w:color w:val="333333"/>
          <w:sz w:val="21"/>
          <w:szCs w:val="21"/>
        </w:rPr>
      </w:pPr>
      <w:r>
        <w:rPr>
          <w:rFonts w:hint="eastAsia" w:ascii="仿宋" w:hAnsi="仿宋" w:eastAsia="仿宋" w:cs="仿宋"/>
          <w:caps w:val="0"/>
          <w:color w:val="333333"/>
          <w:spacing w:val="0"/>
          <w:kern w:val="0"/>
          <w:sz w:val="24"/>
          <w:szCs w:val="24"/>
          <w:shd w:val="clear" w:color="070000" w:fill="FFFFFF"/>
          <w:lang w:val="en-US" w:eastAsia="zh-CN"/>
        </w:rPr>
        <w:t>持有的货币市场基金，按基金管理公司公布的估值日前一交易日的每万份收益计提红利；</w:t>
      </w:r>
    </w:p>
    <w:p>
      <w:pPr>
        <w:widowControl/>
        <w:pBdr>
          <w:top w:val="none" w:color="auto" w:sz="0" w:space="0"/>
          <w:left w:val="none" w:color="auto" w:sz="0" w:space="0"/>
          <w:bottom w:val="none" w:color="auto" w:sz="0" w:space="0"/>
          <w:right w:val="none" w:color="auto" w:sz="0" w:space="0"/>
        </w:pBdr>
        <w:wordWrap/>
        <w:adjustRightInd/>
        <w:snapToGrid/>
        <w:spacing w:beforeAutospacing="0" w:after="0" w:afterAutospacing="0" w:line="240" w:lineRule="auto"/>
        <w:ind w:left="0" w:right="0" w:firstLine="480"/>
        <w:jc w:val="left"/>
        <w:rPr>
          <w:rFonts w:hint="eastAsia" w:ascii="微软雅黑" w:hAnsi="微软雅黑" w:eastAsia="微软雅黑" w:cs="微软雅黑"/>
          <w:color w:val="333333"/>
          <w:sz w:val="21"/>
          <w:szCs w:val="21"/>
        </w:rPr>
      </w:pPr>
      <w:r>
        <w:rPr>
          <w:rFonts w:hint="eastAsia" w:ascii="仿宋" w:hAnsi="仿宋" w:eastAsia="仿宋" w:cs="仿宋"/>
          <w:caps w:val="0"/>
          <w:color w:val="333333"/>
          <w:spacing w:val="0"/>
          <w:kern w:val="0"/>
          <w:sz w:val="24"/>
          <w:szCs w:val="24"/>
          <w:shd w:val="clear" w:color="070000" w:fill="FFFFFF"/>
          <w:lang w:val="en-US" w:eastAsia="zh-CN"/>
        </w:rPr>
        <w:t>持有的基金处于封闭期的，按照最新公布的份额净值估值；没有公布份额净值的，按照成本估值。</w:t>
      </w:r>
    </w:p>
    <w:p>
      <w:pPr>
        <w:widowControl/>
        <w:pBdr>
          <w:top w:val="none" w:color="auto" w:sz="0" w:space="0"/>
          <w:left w:val="none" w:color="auto" w:sz="0" w:space="0"/>
          <w:bottom w:val="none" w:color="auto" w:sz="0" w:space="0"/>
          <w:right w:val="none" w:color="auto" w:sz="0" w:space="0"/>
        </w:pBdr>
        <w:wordWrap/>
        <w:adjustRightInd/>
        <w:snapToGrid/>
        <w:spacing w:beforeAutospacing="0" w:after="0" w:afterAutospacing="0" w:line="240" w:lineRule="auto"/>
        <w:ind w:left="0" w:right="0" w:firstLine="480"/>
        <w:jc w:val="left"/>
        <w:rPr>
          <w:rFonts w:hint="eastAsia" w:ascii="微软雅黑" w:hAnsi="微软雅黑" w:eastAsia="微软雅黑" w:cs="微软雅黑"/>
          <w:color w:val="333333"/>
          <w:sz w:val="21"/>
          <w:szCs w:val="21"/>
        </w:rPr>
      </w:pPr>
      <w:r>
        <w:rPr>
          <w:rFonts w:hint="eastAsia" w:ascii="仿宋" w:hAnsi="仿宋" w:eastAsia="仿宋" w:cs="仿宋"/>
          <w:caps w:val="0"/>
          <w:color w:val="333333"/>
          <w:spacing w:val="0"/>
          <w:kern w:val="0"/>
          <w:sz w:val="24"/>
          <w:szCs w:val="24"/>
          <w:shd w:val="clear" w:color="070000" w:fill="FFFFFF"/>
          <w:lang w:val="en-US" w:eastAsia="zh-CN"/>
        </w:rPr>
        <w:t>4、其他资产：存在并可以确定公允价值的，以公允价值计算，公允价值不能确定的按取得时的成本计算。</w:t>
      </w:r>
    </w:p>
    <w:p>
      <w:pPr>
        <w:widowControl/>
        <w:pBdr>
          <w:top w:val="none" w:color="auto" w:sz="0" w:space="0"/>
          <w:left w:val="none" w:color="auto" w:sz="0" w:space="0"/>
          <w:bottom w:val="none" w:color="auto" w:sz="0" w:space="0"/>
          <w:right w:val="none" w:color="auto" w:sz="0" w:space="0"/>
        </w:pBdr>
        <w:wordWrap/>
        <w:adjustRightInd/>
        <w:snapToGrid/>
        <w:spacing w:beforeAutospacing="0" w:after="0" w:afterAutospacing="0" w:line="240" w:lineRule="auto"/>
        <w:ind w:left="0" w:right="0" w:firstLine="480"/>
        <w:jc w:val="left"/>
        <w:rPr>
          <w:rFonts w:hint="eastAsia" w:ascii="微软雅黑" w:hAnsi="微软雅黑" w:eastAsia="微软雅黑" w:cs="微软雅黑"/>
          <w:color w:val="333333"/>
          <w:sz w:val="21"/>
          <w:szCs w:val="21"/>
        </w:rPr>
      </w:pPr>
      <w:r>
        <w:rPr>
          <w:rFonts w:hint="eastAsia" w:ascii="仿宋" w:hAnsi="仿宋" w:eastAsia="仿宋" w:cs="仿宋"/>
          <w:caps w:val="0"/>
          <w:color w:val="333333"/>
          <w:spacing w:val="0"/>
          <w:kern w:val="0"/>
          <w:sz w:val="24"/>
          <w:szCs w:val="24"/>
          <w:shd w:val="clear" w:color="070000" w:fill="FFFFFF"/>
          <w:lang w:val="en-US" w:eastAsia="zh-CN"/>
        </w:rPr>
        <w:t>5、相关法律法规以及监管部门有强制规定的，从其规定。如有新增事项，按国家最新规定估值。</w:t>
      </w:r>
    </w:p>
    <w:p>
      <w:pPr>
        <w:widowControl/>
        <w:pBdr>
          <w:top w:val="none" w:color="auto" w:sz="0" w:space="0"/>
          <w:left w:val="none" w:color="auto" w:sz="0" w:space="0"/>
          <w:bottom w:val="none" w:color="auto" w:sz="0" w:space="0"/>
          <w:right w:val="none" w:color="auto" w:sz="0" w:space="0"/>
        </w:pBdr>
        <w:wordWrap/>
        <w:adjustRightInd/>
        <w:snapToGrid/>
        <w:spacing w:beforeAutospacing="0" w:after="0" w:afterAutospacing="0" w:line="240" w:lineRule="auto"/>
        <w:ind w:left="0" w:right="0" w:firstLine="480"/>
        <w:jc w:val="left"/>
        <w:rPr>
          <w:rFonts w:hint="eastAsia" w:ascii="微软雅黑" w:hAnsi="微软雅黑" w:eastAsia="微软雅黑" w:cs="微软雅黑"/>
          <w:color w:val="333333"/>
          <w:sz w:val="21"/>
          <w:szCs w:val="21"/>
        </w:rPr>
      </w:pPr>
      <w:r>
        <w:rPr>
          <w:rFonts w:hint="eastAsia" w:ascii="仿宋" w:hAnsi="仿宋" w:eastAsia="仿宋" w:cs="仿宋"/>
          <w:caps w:val="0"/>
          <w:color w:val="333333"/>
          <w:spacing w:val="0"/>
          <w:kern w:val="0"/>
          <w:sz w:val="24"/>
          <w:szCs w:val="24"/>
          <w:shd w:val="clear" w:color="070000" w:fill="FFFFFF"/>
          <w:lang w:val="en-US" w:eastAsia="zh-CN"/>
        </w:rPr>
        <w:t>6、在任何情况下，产品管理人与托管人所共同认可的估值方式均视为客观、公允的估值方法。该产品估值均以产品公布的估值结果为准。</w:t>
      </w:r>
    </w:p>
    <w:p>
      <w:pPr>
        <w:widowControl/>
        <w:pBdr>
          <w:top w:val="none" w:color="auto" w:sz="0" w:space="0"/>
          <w:left w:val="none" w:color="auto" w:sz="0" w:space="0"/>
          <w:bottom w:val="none" w:color="auto" w:sz="0" w:space="0"/>
          <w:right w:val="none" w:color="auto" w:sz="0" w:space="0"/>
        </w:pBdr>
        <w:wordWrap/>
        <w:adjustRightInd/>
        <w:snapToGrid/>
        <w:spacing w:beforeAutospacing="0" w:after="0" w:afterAutospacing="0" w:line="240" w:lineRule="auto"/>
        <w:ind w:left="0" w:right="0" w:firstLine="482" w:firstLineChars="200"/>
        <w:jc w:val="left"/>
        <w:rPr>
          <w:rFonts w:hint="eastAsia" w:ascii="微软雅黑" w:hAnsi="微软雅黑" w:eastAsia="微软雅黑" w:cs="微软雅黑"/>
          <w:color w:val="333333"/>
          <w:sz w:val="21"/>
          <w:szCs w:val="21"/>
        </w:rPr>
      </w:pPr>
      <w:r>
        <w:rPr>
          <w:rFonts w:hint="eastAsia" w:ascii="仿宋" w:hAnsi="仿宋" w:eastAsia="仿宋" w:cs="仿宋"/>
          <w:b/>
          <w:bCs/>
          <w:caps w:val="0"/>
          <w:color w:val="333333"/>
          <w:spacing w:val="0"/>
          <w:kern w:val="0"/>
          <w:sz w:val="24"/>
          <w:szCs w:val="24"/>
          <w:shd w:val="clear" w:color="090000" w:fill="FFFFFF"/>
          <w:lang w:val="en-US" w:eastAsia="zh-CN"/>
        </w:rPr>
        <w:t>六、理财产品信息披露</w:t>
      </w:r>
    </w:p>
    <w:p>
      <w:pPr>
        <w:widowControl/>
        <w:pBdr>
          <w:top w:val="none" w:color="auto" w:sz="0" w:space="0"/>
          <w:left w:val="none" w:color="auto" w:sz="0" w:space="0"/>
          <w:bottom w:val="none" w:color="auto" w:sz="0" w:space="0"/>
          <w:right w:val="none" w:color="auto" w:sz="0" w:space="0"/>
        </w:pBdr>
        <w:wordWrap/>
        <w:adjustRightInd/>
        <w:snapToGrid/>
        <w:spacing w:beforeAutospacing="0" w:after="0" w:afterAutospacing="0" w:line="240" w:lineRule="auto"/>
        <w:ind w:left="0" w:right="0" w:firstLine="480"/>
        <w:jc w:val="left"/>
        <w:rPr>
          <w:rFonts w:hint="eastAsia" w:ascii="微软雅黑" w:hAnsi="微软雅黑" w:eastAsia="微软雅黑" w:cs="微软雅黑"/>
          <w:color w:val="333333"/>
          <w:sz w:val="21"/>
          <w:szCs w:val="21"/>
        </w:rPr>
      </w:pPr>
      <w:r>
        <w:rPr>
          <w:rFonts w:hint="eastAsia" w:ascii="仿宋" w:hAnsi="仿宋" w:eastAsia="仿宋" w:cs="仿宋"/>
          <w:caps w:val="0"/>
          <w:color w:val="333333"/>
          <w:spacing w:val="0"/>
          <w:kern w:val="0"/>
          <w:sz w:val="24"/>
          <w:szCs w:val="24"/>
          <w:shd w:val="clear" w:color="070000" w:fill="FFFFFF"/>
          <w:lang w:val="en-US" w:eastAsia="zh-CN"/>
        </w:rPr>
        <w:t>1、本行于每个工作日通过长沙农商银行网站（www.crcbbank.com）、长沙农商银行微信公众号公布理财产品上一工作日单位净值。</w:t>
      </w:r>
    </w:p>
    <w:p>
      <w:pPr>
        <w:widowControl/>
        <w:pBdr>
          <w:top w:val="none" w:color="auto" w:sz="0" w:space="0"/>
          <w:left w:val="none" w:color="auto" w:sz="0" w:space="0"/>
          <w:bottom w:val="none" w:color="auto" w:sz="0" w:space="0"/>
          <w:right w:val="none" w:color="auto" w:sz="0" w:space="0"/>
        </w:pBdr>
        <w:wordWrap/>
        <w:adjustRightInd/>
        <w:snapToGrid/>
        <w:spacing w:beforeAutospacing="0" w:after="0" w:afterAutospacing="0" w:line="240" w:lineRule="auto"/>
        <w:ind w:left="0" w:right="0" w:firstLine="480"/>
        <w:jc w:val="left"/>
        <w:rPr>
          <w:rFonts w:hint="eastAsia" w:ascii="微软雅黑" w:hAnsi="微软雅黑" w:eastAsia="微软雅黑" w:cs="微软雅黑"/>
          <w:color w:val="333333"/>
          <w:sz w:val="21"/>
          <w:szCs w:val="21"/>
        </w:rPr>
      </w:pPr>
      <w:r>
        <w:rPr>
          <w:rFonts w:hint="eastAsia" w:ascii="仿宋" w:hAnsi="仿宋" w:eastAsia="仿宋" w:cs="仿宋"/>
          <w:caps w:val="0"/>
          <w:color w:val="333333"/>
          <w:spacing w:val="0"/>
          <w:kern w:val="0"/>
          <w:sz w:val="24"/>
          <w:szCs w:val="24"/>
          <w:shd w:val="clear" w:color="070000" w:fill="FFFFFF"/>
          <w:lang w:val="en-US" w:eastAsia="zh-CN"/>
        </w:rPr>
        <w:t>2、根据本产品运作特点，长沙农商银行与投资人特别约定，本行不向投资人另行寄送产品账单。</w:t>
      </w:r>
    </w:p>
    <w:p>
      <w:pPr>
        <w:widowControl/>
        <w:pBdr>
          <w:top w:val="none" w:color="auto" w:sz="0" w:space="0"/>
          <w:left w:val="none" w:color="auto" w:sz="0" w:space="0"/>
          <w:bottom w:val="none" w:color="auto" w:sz="0" w:space="0"/>
          <w:right w:val="none" w:color="auto" w:sz="0" w:space="0"/>
        </w:pBdr>
        <w:wordWrap/>
        <w:adjustRightInd/>
        <w:snapToGrid/>
        <w:spacing w:beforeAutospacing="0" w:after="0" w:afterAutospacing="0" w:line="240" w:lineRule="auto"/>
        <w:ind w:left="0" w:right="0" w:firstLine="480"/>
        <w:jc w:val="left"/>
        <w:rPr>
          <w:rFonts w:hint="eastAsia" w:ascii="微软雅黑" w:hAnsi="微软雅黑" w:eastAsia="微软雅黑" w:cs="微软雅黑"/>
          <w:color w:val="333333"/>
          <w:sz w:val="21"/>
          <w:szCs w:val="21"/>
        </w:rPr>
      </w:pPr>
      <w:r>
        <w:rPr>
          <w:rFonts w:hint="eastAsia" w:ascii="仿宋" w:hAnsi="仿宋" w:eastAsia="仿宋" w:cs="仿宋"/>
          <w:caps w:val="0"/>
          <w:color w:val="333333"/>
          <w:spacing w:val="0"/>
          <w:kern w:val="0"/>
          <w:sz w:val="24"/>
          <w:szCs w:val="24"/>
          <w:shd w:val="clear" w:color="070000" w:fill="FFFFFF"/>
          <w:lang w:val="en-US" w:eastAsia="zh-CN"/>
        </w:rPr>
        <w:t>3、本产品成立后5个工作日内，将在长沙农商银行网站（www.crcbbank.com）、长沙农商银行微信公众号发布产品成立相关公告。</w:t>
      </w:r>
    </w:p>
    <w:p>
      <w:pPr>
        <w:widowControl/>
        <w:pBdr>
          <w:top w:val="none" w:color="auto" w:sz="0" w:space="0"/>
          <w:left w:val="none" w:color="auto" w:sz="0" w:space="0"/>
          <w:bottom w:val="none" w:color="auto" w:sz="0" w:space="0"/>
          <w:right w:val="none" w:color="auto" w:sz="0" w:space="0"/>
        </w:pBdr>
        <w:wordWrap/>
        <w:adjustRightInd/>
        <w:snapToGrid/>
        <w:spacing w:beforeAutospacing="0" w:after="0" w:afterAutospacing="0" w:line="240" w:lineRule="auto"/>
        <w:ind w:left="0" w:right="0" w:firstLine="480"/>
        <w:jc w:val="left"/>
        <w:rPr>
          <w:rFonts w:hint="eastAsia" w:ascii="微软雅黑" w:hAnsi="微软雅黑" w:eastAsia="微软雅黑" w:cs="微软雅黑"/>
          <w:color w:val="333333"/>
          <w:sz w:val="21"/>
          <w:szCs w:val="21"/>
        </w:rPr>
      </w:pPr>
      <w:r>
        <w:rPr>
          <w:rFonts w:hint="eastAsia" w:ascii="仿宋" w:hAnsi="仿宋" w:eastAsia="仿宋" w:cs="仿宋"/>
          <w:caps w:val="0"/>
          <w:color w:val="333333"/>
          <w:spacing w:val="0"/>
          <w:kern w:val="0"/>
          <w:sz w:val="24"/>
          <w:szCs w:val="24"/>
          <w:shd w:val="clear" w:color="070000" w:fill="FFFFFF"/>
          <w:lang w:val="en-US" w:eastAsia="zh-CN"/>
        </w:rPr>
        <w:t>4、本产品在成立后将定期在长沙农商银行网站（www.crcbbank.com）、长沙农商银行微信公众号发布相关产品投资比例信息公告。</w:t>
      </w:r>
    </w:p>
    <w:p>
      <w:pPr>
        <w:widowControl/>
        <w:pBdr>
          <w:top w:val="none" w:color="auto" w:sz="0" w:space="0"/>
          <w:left w:val="none" w:color="auto" w:sz="0" w:space="0"/>
          <w:bottom w:val="none" w:color="auto" w:sz="0" w:space="0"/>
          <w:right w:val="none" w:color="auto" w:sz="0" w:space="0"/>
        </w:pBdr>
        <w:wordWrap/>
        <w:adjustRightInd/>
        <w:snapToGrid/>
        <w:spacing w:beforeAutospacing="0" w:after="0" w:afterAutospacing="0" w:line="240" w:lineRule="auto"/>
        <w:ind w:left="0" w:right="0" w:firstLine="482"/>
        <w:jc w:val="left"/>
        <w:rPr>
          <w:rFonts w:hint="eastAsia" w:ascii="微软雅黑" w:hAnsi="微软雅黑" w:eastAsia="微软雅黑" w:cs="微软雅黑"/>
          <w:color w:val="333333"/>
          <w:sz w:val="21"/>
          <w:szCs w:val="21"/>
        </w:rPr>
      </w:pPr>
      <w:r>
        <w:rPr>
          <w:rFonts w:hint="eastAsia" w:ascii="仿宋" w:hAnsi="仿宋" w:eastAsia="仿宋" w:cs="仿宋"/>
          <w:b/>
          <w:bCs/>
          <w:caps w:val="0"/>
          <w:color w:val="333333"/>
          <w:spacing w:val="0"/>
          <w:kern w:val="0"/>
          <w:sz w:val="24"/>
          <w:szCs w:val="24"/>
          <w:u w:val="single"/>
          <w:shd w:val="clear" w:color="0A0000" w:fill="FFFFFF"/>
          <w:lang w:val="en-US" w:eastAsia="zh-CN"/>
        </w:rPr>
        <w:t>5、在产品存续期内，若发生长沙农商银行认为可能影响本产品投资运作的重大影响事件时，长沙农商银行可视情况选择以下一种或多种方式告知投资者：长沙农商银行网站（www.crcbbank.com）、长沙农商银行微信公众号、相关营业网点发布、电子邮件、电话、以信函形式邮寄、手机短信等。</w:t>
      </w:r>
    </w:p>
    <w:p>
      <w:pPr>
        <w:widowControl/>
        <w:pBdr>
          <w:top w:val="none" w:color="auto" w:sz="0" w:space="0"/>
          <w:left w:val="none" w:color="auto" w:sz="0" w:space="0"/>
          <w:bottom w:val="none" w:color="auto" w:sz="0" w:space="0"/>
          <w:right w:val="none" w:color="auto" w:sz="0" w:space="0"/>
        </w:pBdr>
        <w:wordWrap/>
        <w:adjustRightInd/>
        <w:snapToGrid/>
        <w:spacing w:beforeAutospacing="0" w:after="0" w:afterAutospacing="0" w:line="240" w:lineRule="auto"/>
        <w:ind w:left="0" w:right="0"/>
        <w:jc w:val="left"/>
        <w:rPr>
          <w:rFonts w:hint="eastAsia" w:ascii="微软雅黑" w:hAnsi="微软雅黑" w:eastAsia="微软雅黑" w:cs="微软雅黑"/>
          <w:color w:val="333333"/>
          <w:sz w:val="21"/>
          <w:szCs w:val="21"/>
        </w:rPr>
      </w:pPr>
      <w:r>
        <w:rPr>
          <w:rFonts w:hint="eastAsia" w:ascii="仿宋" w:hAnsi="仿宋" w:eastAsia="仿宋" w:cs="仿宋"/>
          <w:caps w:val="0"/>
          <w:color w:val="333333"/>
          <w:spacing w:val="0"/>
          <w:kern w:val="0"/>
          <w:sz w:val="24"/>
          <w:szCs w:val="24"/>
          <w:shd w:val="clear" w:color="070000" w:fill="FFFFFF"/>
          <w:lang w:val="en-US" w:eastAsia="zh-CN"/>
        </w:rPr>
        <w:t>    </w:t>
      </w:r>
      <w:r>
        <w:rPr>
          <w:rFonts w:hint="eastAsia" w:ascii="仿宋" w:hAnsi="仿宋" w:eastAsia="仿宋" w:cs="仿宋"/>
          <w:b/>
          <w:bCs/>
          <w:caps w:val="0"/>
          <w:color w:val="333333"/>
          <w:spacing w:val="0"/>
          <w:kern w:val="0"/>
          <w:sz w:val="24"/>
          <w:szCs w:val="24"/>
          <w:u w:val="single"/>
          <w:shd w:val="clear" w:color="0A0000" w:fill="FFFFFF"/>
          <w:lang w:val="en-US" w:eastAsia="zh-CN"/>
        </w:rPr>
        <w:t>6、在产品存续期内，长沙农商银行对原约定的投资范围、投资品种或投资比例进行调整的，除高风险类型的理财产品超出比例范围投资较低风险资产外，将提前5个工作日在长沙农商银行网站（www.crcbbank.com）、长沙农商银行微信公众号以公告的方式通知投资者并取得书面同意。投资者如不同意前述修订，可根据长沙农商银行的公告在修订生效前赎回本产品，投资者理财资金和收益（如有）将在赎回确认日后2个工作日内划转至投资者账户，如遇巨额赎回情况，按巨额赎回的约定执行。</w:t>
      </w:r>
    </w:p>
    <w:p>
      <w:pPr>
        <w:widowControl/>
        <w:pBdr>
          <w:top w:val="none" w:color="auto" w:sz="0" w:space="0"/>
          <w:left w:val="none" w:color="auto" w:sz="0" w:space="0"/>
          <w:bottom w:val="none" w:color="auto" w:sz="0" w:space="0"/>
          <w:right w:val="none" w:color="auto" w:sz="0" w:space="0"/>
        </w:pBdr>
        <w:wordWrap/>
        <w:adjustRightInd/>
        <w:snapToGrid/>
        <w:spacing w:beforeAutospacing="0" w:after="0" w:afterAutospacing="0" w:line="240" w:lineRule="auto"/>
        <w:ind w:left="0" w:right="0" w:firstLine="480"/>
        <w:jc w:val="left"/>
        <w:rPr>
          <w:rFonts w:hint="eastAsia" w:ascii="微软雅黑" w:hAnsi="微软雅黑" w:eastAsia="微软雅黑" w:cs="微软雅黑"/>
          <w:color w:val="333333"/>
          <w:sz w:val="21"/>
          <w:szCs w:val="21"/>
        </w:rPr>
      </w:pPr>
      <w:r>
        <w:rPr>
          <w:rFonts w:hint="eastAsia" w:ascii="仿宋" w:hAnsi="仿宋" w:eastAsia="仿宋" w:cs="仿宋"/>
          <w:caps w:val="0"/>
          <w:color w:val="333333"/>
          <w:spacing w:val="0"/>
          <w:kern w:val="0"/>
          <w:sz w:val="24"/>
          <w:szCs w:val="24"/>
          <w:shd w:val="clear" w:color="070000" w:fill="FFFFFF"/>
          <w:lang w:val="en-US" w:eastAsia="zh-CN"/>
        </w:rPr>
        <w:t>7、本产品在终止日后5个工作日内在长沙农商银行网站（www.crcbbank.com）、长沙农商银行微信公众号发布相关信息公告。</w:t>
      </w:r>
    </w:p>
    <w:p>
      <w:pPr>
        <w:widowControl/>
        <w:pBdr>
          <w:top w:val="none" w:color="auto" w:sz="0" w:space="0"/>
          <w:left w:val="none" w:color="auto" w:sz="0" w:space="0"/>
          <w:bottom w:val="none" w:color="auto" w:sz="0" w:space="0"/>
          <w:right w:val="none" w:color="auto" w:sz="0" w:space="0"/>
        </w:pBdr>
        <w:wordWrap/>
        <w:adjustRightInd/>
        <w:snapToGrid/>
        <w:spacing w:beforeAutospacing="0" w:after="0" w:afterAutospacing="0" w:line="240" w:lineRule="auto"/>
        <w:ind w:left="0" w:right="0" w:firstLine="482" w:firstLineChars="200"/>
        <w:jc w:val="left"/>
        <w:rPr>
          <w:rFonts w:hint="eastAsia" w:ascii="微软雅黑" w:hAnsi="微软雅黑" w:eastAsia="微软雅黑" w:cs="微软雅黑"/>
          <w:color w:val="333333"/>
          <w:sz w:val="21"/>
          <w:szCs w:val="21"/>
        </w:rPr>
      </w:pPr>
      <w:r>
        <w:rPr>
          <w:rFonts w:hint="eastAsia" w:ascii="仿宋" w:hAnsi="仿宋" w:eastAsia="仿宋" w:cs="仿宋"/>
          <w:b/>
          <w:bCs/>
          <w:caps w:val="0"/>
          <w:color w:val="333333"/>
          <w:spacing w:val="0"/>
          <w:kern w:val="0"/>
          <w:sz w:val="24"/>
          <w:szCs w:val="24"/>
          <w:shd w:val="clear" w:color="090000" w:fill="FFFFFF"/>
          <w:lang w:val="en-US" w:eastAsia="zh-CN"/>
        </w:rPr>
        <w:t>七、相关事项说明</w:t>
      </w:r>
      <w:r>
        <w:rPr>
          <w:rFonts w:hint="eastAsia" w:ascii="仿宋" w:hAnsi="仿宋" w:eastAsia="仿宋" w:cs="仿宋"/>
          <w:caps w:val="0"/>
          <w:color w:val="333333"/>
          <w:spacing w:val="0"/>
          <w:kern w:val="0"/>
          <w:sz w:val="24"/>
          <w:szCs w:val="24"/>
          <w:shd w:val="clear" w:color="070000" w:fill="FFFFFF"/>
          <w:lang w:val="en-US" w:eastAsia="zh-CN"/>
        </w:rPr>
        <w:t> </w:t>
      </w:r>
    </w:p>
    <w:p>
      <w:pPr>
        <w:widowControl/>
        <w:pBdr>
          <w:top w:val="none" w:color="auto" w:sz="0" w:space="0"/>
          <w:left w:val="none" w:color="auto" w:sz="0" w:space="0"/>
          <w:bottom w:val="none" w:color="auto" w:sz="0" w:space="0"/>
          <w:right w:val="none" w:color="auto" w:sz="0" w:space="0"/>
        </w:pBdr>
        <w:wordWrap/>
        <w:adjustRightInd/>
        <w:snapToGrid/>
        <w:spacing w:beforeAutospacing="0" w:after="0" w:afterAutospacing="0" w:line="240" w:lineRule="auto"/>
        <w:ind w:left="0" w:right="0" w:firstLine="600"/>
        <w:jc w:val="left"/>
        <w:rPr>
          <w:rFonts w:hint="eastAsia" w:ascii="微软雅黑" w:hAnsi="微软雅黑" w:eastAsia="微软雅黑" w:cs="微软雅黑"/>
          <w:color w:val="333333"/>
          <w:sz w:val="21"/>
          <w:szCs w:val="21"/>
        </w:rPr>
      </w:pPr>
      <w:r>
        <w:rPr>
          <w:rFonts w:hint="eastAsia" w:ascii="仿宋" w:hAnsi="仿宋" w:eastAsia="仿宋" w:cs="仿宋"/>
          <w:caps w:val="0"/>
          <w:color w:val="333333"/>
          <w:spacing w:val="0"/>
          <w:kern w:val="0"/>
          <w:sz w:val="24"/>
          <w:szCs w:val="24"/>
          <w:shd w:val="clear" w:color="070000" w:fill="FFFFFF"/>
          <w:lang w:val="en-US" w:eastAsia="zh-CN"/>
        </w:rPr>
        <w:t>1、本理财产品说明书中示例均采用假设数据，并不代表投资者实际可获得的收益。</w:t>
      </w:r>
    </w:p>
    <w:p>
      <w:pPr>
        <w:widowControl/>
        <w:pBdr>
          <w:top w:val="none" w:color="auto" w:sz="0" w:space="0"/>
          <w:left w:val="none" w:color="auto" w:sz="0" w:space="0"/>
          <w:bottom w:val="none" w:color="auto" w:sz="0" w:space="0"/>
          <w:right w:val="none" w:color="auto" w:sz="0" w:space="0"/>
        </w:pBdr>
        <w:wordWrap/>
        <w:adjustRightInd/>
        <w:snapToGrid/>
        <w:spacing w:beforeAutospacing="0" w:after="0" w:afterAutospacing="0" w:line="240" w:lineRule="auto"/>
        <w:ind w:left="0" w:right="0" w:firstLine="480"/>
        <w:jc w:val="left"/>
        <w:rPr>
          <w:rFonts w:hint="eastAsia" w:ascii="微软雅黑" w:hAnsi="微软雅黑" w:eastAsia="微软雅黑" w:cs="微软雅黑"/>
          <w:color w:val="333333"/>
          <w:sz w:val="21"/>
          <w:szCs w:val="21"/>
        </w:rPr>
      </w:pPr>
      <w:r>
        <w:rPr>
          <w:rFonts w:hint="eastAsia" w:ascii="仿宋" w:hAnsi="仿宋" w:eastAsia="仿宋" w:cs="仿宋"/>
          <w:caps w:val="0"/>
          <w:color w:val="333333"/>
          <w:spacing w:val="0"/>
          <w:kern w:val="0"/>
          <w:sz w:val="24"/>
          <w:szCs w:val="24"/>
          <w:shd w:val="clear" w:color="070000" w:fill="FFFFFF"/>
          <w:lang w:val="en-US" w:eastAsia="zh-CN"/>
        </w:rPr>
        <w:t>2、本理财产品和服务执行国家推荐性标准GB/T32319-2015《银行业产品说明书描述规范》和JR/T0215.1-2021《资产管理产品要素-第1部分：银行理财产品》的要求。</w:t>
      </w:r>
    </w:p>
    <w:p>
      <w:pPr>
        <w:widowControl/>
        <w:pBdr>
          <w:top w:val="none" w:color="auto" w:sz="0" w:space="0"/>
          <w:left w:val="none" w:color="auto" w:sz="0" w:space="0"/>
          <w:bottom w:val="none" w:color="auto" w:sz="0" w:space="0"/>
          <w:right w:val="none" w:color="auto" w:sz="0" w:space="0"/>
        </w:pBdr>
        <w:wordWrap/>
        <w:adjustRightInd/>
        <w:snapToGrid/>
        <w:spacing w:beforeAutospacing="0" w:after="0" w:afterAutospacing="0" w:line="240" w:lineRule="auto"/>
        <w:ind w:left="0" w:right="0"/>
        <w:jc w:val="left"/>
        <w:rPr>
          <w:rFonts w:hint="eastAsia" w:ascii="微软雅黑" w:hAnsi="微软雅黑" w:eastAsia="微软雅黑" w:cs="微软雅黑"/>
          <w:color w:val="333333"/>
          <w:sz w:val="21"/>
          <w:szCs w:val="21"/>
        </w:rPr>
      </w:pPr>
      <w:r>
        <w:rPr>
          <w:rFonts w:hint="eastAsia" w:ascii="仿宋" w:hAnsi="仿宋" w:eastAsia="仿宋" w:cs="仿宋"/>
          <w:caps w:val="0"/>
          <w:color w:val="333333"/>
          <w:spacing w:val="0"/>
          <w:kern w:val="0"/>
          <w:sz w:val="24"/>
          <w:szCs w:val="24"/>
          <w:shd w:val="clear" w:color="070000" w:fill="FFFFFF"/>
          <w:lang w:val="en-US" w:eastAsia="zh-CN"/>
        </w:rPr>
        <w:t>3、如投资者对本理财产品有任何异议或意见，请联系长沙农商银行的理财经理或反馈至长沙农商银行各营业网点，也可致电长沙农商银行全国统一客户服务热线（0731-96518）。</w:t>
      </w:r>
    </w:p>
    <w:p>
      <w:pPr>
        <w:widowControl/>
        <w:wordWrap/>
        <w:adjustRightInd/>
        <w:snapToGrid/>
        <w:spacing w:line="240" w:lineRule="auto"/>
        <w:ind w:left="0" w:firstLine="560" w:firstLineChars="200"/>
      </w:pPr>
    </w:p>
    <w:p>
      <w:pPr>
        <w:rPr>
          <w:rFonts w:hint="eastAsia" w:ascii="宋体" w:hAnsi="宋体" w:eastAsia="宋体" w:cs="宋体"/>
          <w:lang w:eastAsia="zh-CN"/>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Wingdings 2">
    <w:altName w:val="Wingdings"/>
    <w:panose1 w:val="05020102010507070707"/>
    <w:charset w:val="02"/>
    <w:family w:val="auto"/>
    <w:pitch w:val="default"/>
    <w:sig w:usb0="00000000" w:usb1="0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trackRevisions w:val="1"/>
  <w:documentProtection w:enforcement="0"/>
  <w:defaultTabStop w:val="420"/>
  <w:drawingGridHorizontalSpacing w:val="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M4ZGY5MjVjMmZkNjhmNjFmZDNlZTcxMGM0YzJmNTIifQ=="/>
  </w:docVars>
  <w:rsids>
    <w:rsidRoot w:val="00000000"/>
    <w:rsid w:val="08E65E70"/>
    <w:rsid w:val="3116758A"/>
    <w:rsid w:val="64DA5735"/>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 w:cs="黑体"/>
      <w:kern w:val="2"/>
      <w:sz w:val="28"/>
      <w:szCs w:val="24"/>
      <w:lang w:val="en-US" w:eastAsia="zh-CN" w:bidi="ar-SA"/>
    </w:rPr>
  </w:style>
  <w:style w:type="paragraph" w:styleId="2">
    <w:name w:val="heading 4"/>
    <w:basedOn w:val="1"/>
    <w:next w:val="1"/>
    <w:semiHidden/>
    <w:unhideWhenUsed/>
    <w:qFormat/>
    <w:uiPriority w:val="0"/>
    <w:pPr>
      <w:spacing w:beforeAutospacing="1" w:afterAutospacing="1"/>
      <w:jc w:val="left"/>
      <w:outlineLvl w:val="3"/>
    </w:pPr>
    <w:rPr>
      <w:rFonts w:hint="eastAsia" w:ascii="宋体" w:hAnsi="宋体" w:eastAsia="宋体" w:cs="Times New Roman"/>
      <w:b/>
      <w:bCs/>
      <w:kern w:val="0"/>
      <w:sz w:val="24"/>
    </w:rPr>
  </w:style>
  <w:style w:type="character" w:default="1" w:styleId="9">
    <w:name w:val="Default Paragraph Font"/>
    <w:unhideWhenUsed/>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3">
    <w:name w:val="annotation text"/>
    <w:basedOn w:val="1"/>
    <w:link w:val="14"/>
    <w:qFormat/>
    <w:uiPriority w:val="0"/>
    <w:pPr>
      <w:jc w:val="left"/>
    </w:pPr>
  </w:style>
  <w:style w:type="paragraph" w:styleId="4">
    <w:name w:val="footer"/>
    <w:basedOn w:val="1"/>
    <w:link w:val="13"/>
    <w:qFormat/>
    <w:uiPriority w:val="0"/>
    <w:pPr>
      <w:tabs>
        <w:tab w:val="center" w:pos="4153"/>
        <w:tab w:val="right" w:pos="8306"/>
      </w:tabs>
      <w:snapToGrid w:val="0"/>
      <w:jc w:val="left"/>
    </w:pPr>
    <w:rPr>
      <w:sz w:val="18"/>
      <w:szCs w:val="18"/>
    </w:rPr>
  </w:style>
  <w:style w:type="paragraph" w:styleId="5">
    <w:name w:val="header"/>
    <w:basedOn w:val="1"/>
    <w:link w:val="12"/>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rPr>
      <w:rFonts w:cs="Times New Roman"/>
      <w:sz w:val="24"/>
    </w:rPr>
  </w:style>
  <w:style w:type="paragraph" w:styleId="7">
    <w:name w:val="annotation subject"/>
    <w:basedOn w:val="3"/>
    <w:next w:val="3"/>
    <w:link w:val="15"/>
    <w:uiPriority w:val="0"/>
    <w:rPr>
      <w:b/>
      <w:bCs/>
    </w:rPr>
  </w:style>
  <w:style w:type="character" w:styleId="10">
    <w:name w:val="annotation reference"/>
    <w:basedOn w:val="9"/>
    <w:qFormat/>
    <w:uiPriority w:val="0"/>
    <w:rPr>
      <w:sz w:val="21"/>
      <w:szCs w:val="21"/>
    </w:rPr>
  </w:style>
  <w:style w:type="paragraph" w:customStyle="1" w:styleId="11">
    <w:name w:val="Revision"/>
    <w:hidden/>
    <w:semiHidden/>
    <w:qFormat/>
    <w:uiPriority w:val="99"/>
    <w:rPr>
      <w:rFonts w:ascii="Times New Roman" w:hAnsi="Times New Roman" w:eastAsia="仿宋" w:cs="黑体"/>
      <w:kern w:val="2"/>
      <w:sz w:val="28"/>
      <w:szCs w:val="24"/>
      <w:lang w:val="en-US" w:eastAsia="zh-CN" w:bidi="ar-SA"/>
    </w:rPr>
  </w:style>
  <w:style w:type="character" w:customStyle="1" w:styleId="12">
    <w:name w:val="页眉 字符"/>
    <w:basedOn w:val="9"/>
    <w:link w:val="5"/>
    <w:qFormat/>
    <w:uiPriority w:val="0"/>
    <w:rPr>
      <w:rFonts w:eastAsia="仿宋" w:cs="黑体"/>
      <w:kern w:val="2"/>
      <w:sz w:val="18"/>
      <w:szCs w:val="18"/>
    </w:rPr>
  </w:style>
  <w:style w:type="character" w:customStyle="1" w:styleId="13">
    <w:name w:val="页脚 字符"/>
    <w:basedOn w:val="9"/>
    <w:link w:val="4"/>
    <w:qFormat/>
    <w:uiPriority w:val="0"/>
    <w:rPr>
      <w:rFonts w:eastAsia="仿宋" w:cs="黑体"/>
      <w:kern w:val="2"/>
      <w:sz w:val="18"/>
      <w:szCs w:val="18"/>
    </w:rPr>
  </w:style>
  <w:style w:type="character" w:customStyle="1" w:styleId="14">
    <w:name w:val="批注文字 字符"/>
    <w:basedOn w:val="9"/>
    <w:link w:val="3"/>
    <w:qFormat/>
    <w:uiPriority w:val="0"/>
    <w:rPr>
      <w:rFonts w:eastAsia="仿宋" w:cs="黑体"/>
      <w:kern w:val="2"/>
      <w:sz w:val="28"/>
      <w:szCs w:val="24"/>
    </w:rPr>
  </w:style>
  <w:style w:type="character" w:customStyle="1" w:styleId="15">
    <w:name w:val="批注主题 字符"/>
    <w:basedOn w:val="14"/>
    <w:link w:val="7"/>
    <w:qFormat/>
    <w:uiPriority w:val="0"/>
    <w:rPr>
      <w:rFonts w:eastAsia="仿宋" w:cs="黑体"/>
      <w:b/>
      <w:bCs/>
      <w:kern w:val="2"/>
      <w:sz w:val="28"/>
      <w:szCs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7</Pages>
  <Words>7000</Words>
  <Characters>7473</Characters>
  <Lines>5</Lines>
  <Paragraphs>1</Paragraphs>
  <TotalTime>2</TotalTime>
  <ScaleCrop>false</ScaleCrop>
  <LinksUpToDate>false</LinksUpToDate>
  <CharactersWithSpaces>7489</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2021-05-08T02:36:00Z</dcterms:created>
  <dc:creator>crcb</dc:creator>
  <cp:lastModifiedBy>TP</cp:lastModifiedBy>
  <cp:lastPrinted>2022-08-08T03:37:00Z</cp:lastPrinted>
  <dcterms:modified xsi:type="dcterms:W3CDTF">2022-08-10T02:38:07Z</dcterms:modified>
  <dc:title>长沙农村商业银行股份有限公司</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ABE9E8FECA364639A0BCF5A946108F5F</vt:lpwstr>
  </property>
</Properties>
</file>