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0"/>
          <w:szCs w:val="40"/>
          <w:lang w:eastAsia="zh-CN"/>
        </w:rPr>
      </w:pPr>
      <w:bookmarkStart w:id="0" w:name="OLE_LINK60"/>
      <w:bookmarkStart w:id="1" w:name="OLE_LINK86"/>
      <w:bookmarkStart w:id="2" w:name="OLE_LINK1"/>
      <w:bookmarkStart w:id="3" w:name="OLE_LINK2"/>
      <w:r>
        <w:rPr>
          <w:rFonts w:hint="eastAsia" w:ascii="Times New Roman" w:hAnsi="Times New Roman" w:eastAsia="方正小标宋简体" w:cs="Times New Roman"/>
          <w:sz w:val="40"/>
          <w:szCs w:val="40"/>
          <w:lang w:eastAsia="zh-CN"/>
        </w:rPr>
        <w:t>长沙农村商业</w:t>
      </w:r>
      <w:r>
        <w:rPr>
          <w:rFonts w:hint="default" w:ascii="Times New Roman" w:hAnsi="Times New Roman" w:eastAsia="方正小标宋简体" w:cs="Times New Roman"/>
          <w:sz w:val="40"/>
          <w:szCs w:val="40"/>
          <w:lang w:eastAsia="zh-CN"/>
        </w:rPr>
        <w:t>银行</w:t>
      </w:r>
      <w:bookmarkEnd w:id="0"/>
      <w:bookmarkEnd w:id="1"/>
      <w:r>
        <w:rPr>
          <w:rFonts w:hint="eastAsia" w:ascii="Times New Roman" w:hAnsi="Times New Roman" w:eastAsia="方正小标宋简体" w:cs="Times New Roman"/>
          <w:sz w:val="40"/>
          <w:szCs w:val="40"/>
          <w:lang w:eastAsia="zh-CN"/>
        </w:rPr>
        <w:t>股份有限公司</w:t>
      </w:r>
    </w:p>
    <w:p>
      <w:pPr>
        <w:spacing w:line="560" w:lineRule="exact"/>
        <w:jc w:val="center"/>
        <w:rPr>
          <w:rFonts w:hint="default" w:ascii="Times New Roman" w:hAnsi="Times New Roman" w:eastAsia="方正小标宋简体" w:cs="Times New Roman"/>
          <w:sz w:val="40"/>
          <w:szCs w:val="40"/>
        </w:rPr>
      </w:pPr>
      <w:r>
        <w:rPr>
          <w:rFonts w:hint="eastAsia" w:ascii="Times New Roman" w:hAnsi="Times New Roman" w:eastAsia="方正小标宋简体" w:cs="Times New Roman"/>
          <w:color w:val="auto"/>
          <w:sz w:val="40"/>
          <w:szCs w:val="40"/>
          <w:lang w:eastAsia="zh-CN"/>
        </w:rPr>
        <w:t>费用管控</w:t>
      </w:r>
      <w:r>
        <w:rPr>
          <w:rFonts w:hint="default" w:ascii="Times New Roman" w:hAnsi="Times New Roman" w:eastAsia="方正小标宋简体" w:cs="Times New Roman"/>
          <w:color w:val="auto"/>
          <w:sz w:val="40"/>
          <w:szCs w:val="40"/>
          <w:lang w:eastAsia="zh-CN"/>
        </w:rPr>
        <w:t>平台项目</w:t>
      </w:r>
      <w:r>
        <w:rPr>
          <w:rFonts w:hint="eastAsia" w:ascii="Times New Roman" w:hAnsi="Times New Roman" w:eastAsia="方正小标宋简体" w:cs="Times New Roman"/>
          <w:sz w:val="40"/>
          <w:szCs w:val="40"/>
          <w:lang w:eastAsia="zh-CN"/>
        </w:rPr>
        <w:t>功能需求</w:t>
      </w:r>
    </w:p>
    <w:bookmarkEnd w:id="2"/>
    <w:bookmarkEnd w:id="3"/>
    <w:p>
      <w:pPr>
        <w:spacing w:line="560" w:lineRule="exact"/>
        <w:jc w:val="left"/>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b/>
          <w:bCs/>
          <w:sz w:val="32"/>
          <w:szCs w:val="32"/>
          <w:lang w:eastAsia="zh-CN"/>
        </w:rPr>
      </w:pPr>
      <w:bookmarkStart w:id="4" w:name="_Toc27603783"/>
      <w:r>
        <w:rPr>
          <w:rFonts w:hint="default" w:ascii="Times New Roman" w:hAnsi="Times New Roman" w:eastAsia="仿宋_GB2312" w:cs="Times New Roman"/>
          <w:b/>
          <w:bCs/>
          <w:sz w:val="32"/>
          <w:szCs w:val="32"/>
          <w:lang w:eastAsia="zh-CN"/>
        </w:rPr>
        <w:t>一、</w:t>
      </w:r>
      <w:bookmarkEnd w:id="4"/>
      <w:r>
        <w:rPr>
          <w:rFonts w:hint="default" w:ascii="Times New Roman" w:hAnsi="Times New Roman" w:eastAsia="仿宋_GB2312" w:cs="Times New Roman"/>
          <w:b/>
          <w:bCs/>
          <w:sz w:val="32"/>
          <w:szCs w:val="32"/>
          <w:lang w:eastAsia="zh-CN"/>
        </w:rPr>
        <w:t>系统功能需求</w:t>
      </w:r>
      <w:bookmarkStart w:id="5" w:name="_GoBack"/>
      <w:bookmarkEnd w:id="5"/>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lang w:eastAsia="zh-CN"/>
        </w:rPr>
        <w:t>费用管控平台以建设</w:t>
      </w:r>
      <w:r>
        <w:rPr>
          <w:rFonts w:hint="eastAsia" w:ascii="仿宋_GB2312" w:hAnsi="仿宋_GB2312" w:eastAsia="仿宋_GB2312" w:cs="仿宋_GB2312"/>
          <w:bCs/>
          <w:color w:val="auto"/>
          <w:sz w:val="32"/>
          <w:szCs w:val="32"/>
        </w:rPr>
        <w:t>以用户为中心，以提高智能化水平为最终目标，以风险可控为原则底线，在快速、高效完成报销工作的同时，强化本行运营管理核心竞争力</w:t>
      </w:r>
      <w:r>
        <w:rPr>
          <w:rFonts w:hint="eastAsia" w:ascii="仿宋_GB2312" w:hAnsi="仿宋_GB2312" w:eastAsia="仿宋_GB2312" w:cs="仿宋_GB2312"/>
          <w:bCs/>
          <w:color w:val="auto"/>
          <w:sz w:val="32"/>
          <w:szCs w:val="32"/>
          <w:lang w:eastAsia="zh-CN"/>
        </w:rPr>
        <w:t>全行性的统一平台，主要包括以下模块：①基础参数管理、②预算管理、③发票管理、④费用申请、审批以及报账、⑤应收应付款管理、⑥合同以及供应商管理、⑦支付管理、⑧分析报表、⑨移动端。本项目费用管控平台项目主要包括</w:t>
      </w:r>
      <w:r>
        <w:rPr>
          <w:rFonts w:hint="eastAsia" w:ascii="仿宋_GB2312" w:hAnsi="仿宋_GB2312" w:eastAsia="仿宋_GB2312" w:cs="仿宋_GB2312"/>
          <w:bCs/>
          <w:color w:val="auto"/>
          <w:sz w:val="32"/>
          <w:szCs w:val="32"/>
          <w:lang w:val="en-US" w:eastAsia="zh-CN"/>
        </w:rPr>
        <w:t>PC端（移动端）平台的实施、安装、部署、技术服务、上线前培训等内容。</w:t>
      </w:r>
    </w:p>
    <w:p>
      <w:pPr>
        <w:numPr>
          <w:ilvl w:val="0"/>
          <w:numId w:val="2"/>
        </w:numPr>
        <w:spacing w:line="560" w:lineRule="exact"/>
        <w:ind w:firstLine="643" w:firstLineChars="200"/>
        <w:rPr>
          <w:rFonts w:hint="default" w:ascii="Times New Roman" w:hAnsi="Times New Roman" w:eastAsia="仿宋_GB2312" w:cs="Times New Roman"/>
          <w:b/>
          <w:bCs/>
          <w:sz w:val="32"/>
          <w:szCs w:val="32"/>
          <w:lang w:val="zh-CN"/>
        </w:rPr>
      </w:pPr>
      <w:r>
        <w:rPr>
          <w:rFonts w:hint="eastAsia" w:ascii="Times New Roman" w:hAnsi="Times New Roman" w:eastAsia="仿宋_GB2312" w:cs="Times New Roman"/>
          <w:b/>
          <w:bCs/>
          <w:sz w:val="32"/>
          <w:szCs w:val="32"/>
          <w:lang w:val="zh-CN"/>
        </w:rPr>
        <w:t>基础参数管理</w:t>
      </w:r>
      <w:r>
        <w:rPr>
          <w:rFonts w:hint="default" w:ascii="Times New Roman" w:hAnsi="Times New Roman" w:eastAsia="仿宋_GB2312" w:cs="Times New Roman"/>
          <w:b/>
          <w:bCs/>
          <w:sz w:val="32"/>
          <w:szCs w:val="32"/>
          <w:lang w:val="zh-CN"/>
        </w:rPr>
        <w:t>模块</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基础参数管理模块包括组织架构管理，人员管理以及操作员权限管理（包括功能权限和数据权限）、操作员角色管理、系统可实现通过勾选进行灵活配置。支持我行三级管理架构模式。</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预算管理模块</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预算管理模块主要包括基础设置、预算编制汇总、下划及查询、预算调整（追加、调减以及调整）、实时预算额度查询、  通过多维度实现预算控制，通过预算项目与支出类别、费用类型以及会计科目等维度按不同强度进行预算控控制。提供预算跟踪与查询，通过预算参数、组织架构等各项维度查询预算，提供下钻查询功能。支持多套预算，满足不同管理需求。报账录入时随即作出预算冻结，记账完成后自动计算剩余预算并进行自动识别控制。</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发票管理模块</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发票管理模块主要实现发票信息采集与保存、发票查真查重、进项税核算（认证与抵扣）、进项税转出、过期发票预警提醒等功能。系统需支持手工录入、二维码扫描录入、电子发票导入、OCR识别等多种方式创建发票信息并生成报账单据。由于行内暂未建设OCR识别系统，本次费用管控平台中标供应商须集成OCR系统。</w:t>
      </w:r>
    </w:p>
    <w:p>
      <w:pPr>
        <w:numPr>
          <w:ilvl w:val="0"/>
          <w:numId w:val="2"/>
        </w:numPr>
        <w:spacing w:line="56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费用申请</w:t>
      </w:r>
      <w:r>
        <w:rPr>
          <w:rFonts w:hint="eastAsia" w:ascii="仿宋_GB2312" w:hAnsi="仿宋_GB2312" w:eastAsia="仿宋_GB2312" w:cs="仿宋_GB2312"/>
          <w:b/>
          <w:bCs/>
          <w:color w:val="auto"/>
          <w:sz w:val="32"/>
          <w:szCs w:val="32"/>
          <w:lang w:eastAsia="zh-CN"/>
        </w:rPr>
        <w:t>审批以及报账</w:t>
      </w:r>
      <w:r>
        <w:rPr>
          <w:rFonts w:hint="eastAsia" w:ascii="Times New Roman" w:hAnsi="Times New Roman" w:eastAsia="仿宋_GB2312" w:cs="Times New Roman"/>
          <w:b/>
          <w:bCs/>
          <w:sz w:val="32"/>
          <w:szCs w:val="32"/>
          <w:lang w:val="en-US" w:eastAsia="zh-CN"/>
        </w:rPr>
        <w:t>模块</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费用申请模块主要包括费用申请管理、费用报账管理、费用审批管理、费用分摊管理等模块。主要功能：1、费用申请管理主要实现对于特定支出的费用以及支出进行事前申请并结合预算以及特殊管控要求对费用或支出进行过程控制。如根据不同类别、项目、员工级别、职务等特殊管控标准进行预算冻结。2、费用报账管理主要实现员工从发票录入后填写报账单至报账记账至支付完成的流程管理。系统应实现根据不同业务场景设置模板化的报账单并实现与行内会计科目的映射，在报账单中设置产品、条线、责任中心等基础分摊因子，并结合预算控制实现预算事前控制。3、费用审批管理主要通过对接行内OA系统结合行内管理制度对不同类型的费用和支出设置不同的审批流程。审批通过后，根据报账信息自动生成符合会计核算规则要求的标准凭证，完成账务处理。4、费用分摊管理主要是后续行内成本分摊提供基础数据，支持包括但不限于产品、条线、责任部门（支行）等维度的分摊。费用报账审批通过后，计财部门可进行分摊信息修改。</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应收应付款管理</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应收应付款管理主要包括对于行内存量的应收应付款提供数据迁入功能。预付款管理、借款管理、特殊事项借款管理、应付款管理、退款管理、账龄分析等。</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合同及供应商管理</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合同及供应商管理模块主要包括合同台账登记、合同付款、合同进度跟踪等。需支持合同信息录入以及表格导入，支持从采购管理系统等处获取合同信息，支持合同进度报表查询。</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支付管理</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支付管理主要需求包括支付账户管理，现金流量项目定义，付款方式定义、统一账户集中支付、退款管理、对账管理、支付全流程监控等。</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zh-CN" w:eastAsia="zh-CN"/>
        </w:rPr>
      </w:pPr>
      <w:r>
        <w:rPr>
          <w:rFonts w:hint="eastAsia" w:ascii="Times New Roman" w:hAnsi="Times New Roman" w:eastAsia="仿宋_GB2312" w:cs="Times New Roman"/>
          <w:b/>
          <w:bCs/>
          <w:sz w:val="32"/>
          <w:szCs w:val="32"/>
          <w:lang w:val="zh-CN" w:eastAsia="zh-CN"/>
        </w:rPr>
        <w:t>分析报表</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分析报表模块主要需求为提供准确、完整、有效的统计查询功能同时，根据用户权限提供合理安全、可屏蔽的分析报表。包括费用综合查询、预付款查询、应收应付款查询、申请查询、报销单查询、部门/支行报销单查询、凭证查询、部门/支行费用支出汇总查询、预算查询、付款查询等基础查询功能。同时需支持通过不同维度进行报表自定义查询。</w:t>
      </w:r>
    </w:p>
    <w:p>
      <w:pPr>
        <w:numPr>
          <w:ilvl w:val="0"/>
          <w:numId w:val="2"/>
        </w:numPr>
        <w:spacing w:line="56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移动端</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移动端应基本涵盖PC端功能，并与行内OA等管理平台进行整合。</w:t>
      </w:r>
    </w:p>
    <w:p>
      <w:pPr>
        <w:numPr>
          <w:ilvl w:val="0"/>
          <w:numId w:val="0"/>
        </w:numPr>
        <w:spacing w:line="560" w:lineRule="exact"/>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二、其他需求</w:t>
      </w:r>
    </w:p>
    <w:p>
      <w:pPr>
        <w:numPr>
          <w:ilvl w:val="0"/>
          <w:numId w:val="0"/>
        </w:numPr>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（一）为后续成本分摊以及多维度盈利分析提供基础数据。</w:t>
      </w:r>
    </w:p>
    <w:p>
      <w:pPr>
        <w:numPr>
          <w:ilvl w:val="0"/>
          <w:numId w:val="0"/>
        </w:numPr>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（二）以上功能需求为初步拟定，后续将根据会计准则以及行内实际需求补充、优化。中标单位如有新的功能需求可向招标人提供建议参考。</w:t>
      </w:r>
    </w:p>
    <w:p>
      <w:pPr>
        <w:numPr>
          <w:ilvl w:val="0"/>
          <w:numId w:val="0"/>
        </w:numPr>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（三） 中标单位必须就费控系统对培训对象为技术人员与业务人员分别进行两次以上的现场培训与咨询，并根据实际需求进行非现场培训及咨询服务。</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E521"/>
    <w:multiLevelType w:val="singleLevel"/>
    <w:tmpl w:val="5E72E521"/>
    <w:lvl w:ilvl="0" w:tentative="0">
      <w:start w:val="1"/>
      <w:numFmt w:val="chineseCounting"/>
      <w:suff w:val="nothing"/>
      <w:lvlText w:val="（%1）"/>
      <w:lvlJc w:val="left"/>
    </w:lvl>
  </w:abstractNum>
  <w:abstractNum w:abstractNumId="1">
    <w:nsid w:val="6EA03B66"/>
    <w:multiLevelType w:val="multilevel"/>
    <w:tmpl w:val="6EA03B66"/>
    <w:lvl w:ilvl="0" w:tentative="0">
      <w:start w:val="1"/>
      <w:numFmt w:val="decimal"/>
      <w:lvlText w:val="第 %1 章 "/>
      <w:lvlJc w:val="left"/>
      <w:pPr>
        <w:tabs>
          <w:tab w:val="left" w:pos="1800"/>
        </w:tabs>
        <w:ind w:left="425" w:hanging="425"/>
      </w:pPr>
      <w:rPr>
        <w:rFonts w:hint="eastAsia"/>
      </w:rPr>
    </w:lvl>
    <w:lvl w:ilvl="1" w:tentative="0">
      <w:start w:val="1"/>
      <w:numFmt w:val="decimal"/>
      <w:isLgl/>
      <w:lvlText w:val="%1.%2"/>
      <w:lvlJc w:val="left"/>
      <w:pPr>
        <w:tabs>
          <w:tab w:val="left" w:pos="-840"/>
        </w:tabs>
        <w:ind w:left="-993" w:hanging="567"/>
      </w:pPr>
      <w:rPr>
        <w:b w:val="0"/>
        <w:bCs w:val="0"/>
        <w:i w:val="0"/>
        <w:iCs w:val="0"/>
        <w:caps w:val="0"/>
        <w:smallCaps w:val="0"/>
        <w:strike w:val="0"/>
        <w:dstrike w:val="0"/>
        <w:color w:val="000000"/>
        <w:spacing w:val="0"/>
        <w:position w:val="0"/>
        <w:u w:val="none"/>
      </w:rPr>
    </w:lvl>
    <w:lvl w:ilvl="2" w:tentative="0">
      <w:start w:val="1"/>
      <w:numFmt w:val="decimal"/>
      <w:pStyle w:val="4"/>
      <w:isLgl/>
      <w:lvlText w:val="%1.%2.%3"/>
      <w:lvlJc w:val="left"/>
      <w:pPr>
        <w:tabs>
          <w:tab w:val="left" w:pos="-480"/>
        </w:tabs>
        <w:ind w:left="-851" w:hanging="709"/>
      </w:pPr>
      <w:rPr>
        <w:rFonts w:hint="eastAsia" w:ascii="微软雅黑" w:hAnsi="微软雅黑" w:eastAsia="微软雅黑"/>
      </w:rPr>
    </w:lvl>
    <w:lvl w:ilvl="3" w:tentative="0">
      <w:start w:val="1"/>
      <w:numFmt w:val="decimal"/>
      <w:isLgl/>
      <w:lvlText w:val="%1.%2.%3.%4"/>
      <w:lvlJc w:val="left"/>
      <w:pPr>
        <w:tabs>
          <w:tab w:val="left" w:pos="1440"/>
        </w:tabs>
        <w:ind w:left="851" w:hanging="851"/>
      </w:pPr>
      <w:rPr>
        <w:rFonts w:hint="eastAsia" w:ascii="微软雅黑" w:hAnsi="微软雅黑" w:eastAsia="微软雅黑"/>
      </w:rPr>
    </w:lvl>
    <w:lvl w:ilvl="4" w:tentative="0">
      <w:start w:val="1"/>
      <w:numFmt w:val="decimal"/>
      <w:isLgl/>
      <w:lvlText w:val="%1.%2.%3.%4.%5"/>
      <w:lvlJc w:val="left"/>
      <w:pPr>
        <w:tabs>
          <w:tab w:val="left" w:pos="240"/>
        </w:tabs>
        <w:ind w:left="-568" w:hanging="992"/>
      </w:pPr>
      <w:rPr>
        <w:b w:val="0"/>
        <w:bCs w:val="0"/>
        <w:i w:val="0"/>
        <w:iCs w:val="0"/>
        <w:caps w:val="0"/>
        <w:smallCaps w:val="0"/>
        <w:strike w:val="0"/>
        <w:dstrike w:val="0"/>
        <w:color w:val="000000"/>
        <w:spacing w:val="0"/>
        <w:position w:val="0"/>
        <w:u w:val="none"/>
      </w:rPr>
    </w:lvl>
    <w:lvl w:ilvl="5" w:tentative="0">
      <w:start w:val="1"/>
      <w:numFmt w:val="decimal"/>
      <w:lvlText w:val="%1.%2.%3.%4.%5.%6."/>
      <w:lvlJc w:val="left"/>
      <w:pPr>
        <w:tabs>
          <w:tab w:val="left" w:pos="-426"/>
        </w:tabs>
        <w:ind w:left="-426" w:hanging="1134"/>
      </w:pPr>
      <w:rPr>
        <w:rFonts w:hint="eastAsia"/>
      </w:rPr>
    </w:lvl>
    <w:lvl w:ilvl="6" w:tentative="0">
      <w:start w:val="1"/>
      <w:numFmt w:val="decimal"/>
      <w:lvlText w:val="%1.%2.%3.%4.%5.%6.%7."/>
      <w:lvlJc w:val="left"/>
      <w:pPr>
        <w:tabs>
          <w:tab w:val="left" w:pos="-284"/>
        </w:tabs>
        <w:ind w:left="-284" w:hanging="1276"/>
      </w:pPr>
      <w:rPr>
        <w:rFonts w:hint="eastAsia"/>
      </w:rPr>
    </w:lvl>
    <w:lvl w:ilvl="7" w:tentative="0">
      <w:start w:val="1"/>
      <w:numFmt w:val="decimal"/>
      <w:lvlText w:val="%1.%2.%3.%4.%5.%6.%7.%8."/>
      <w:lvlJc w:val="left"/>
      <w:pPr>
        <w:tabs>
          <w:tab w:val="left" w:pos="-142"/>
        </w:tabs>
        <w:ind w:left="-142" w:hanging="1418"/>
      </w:pPr>
      <w:rPr>
        <w:rFonts w:hint="eastAsia"/>
      </w:rPr>
    </w:lvl>
    <w:lvl w:ilvl="8" w:tentative="0">
      <w:start w:val="1"/>
      <w:numFmt w:val="decimal"/>
      <w:lvlText w:val="%1.%2.%3.%4.%5.%6.%7.%8.%9."/>
      <w:lvlJc w:val="left"/>
      <w:pPr>
        <w:tabs>
          <w:tab w:val="left" w:pos="-1"/>
        </w:tabs>
        <w:ind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E30209F"/>
    <w:rsid w:val="762856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qFormat/>
    <w:uiPriority w:val="0"/>
    <w:pPr>
      <w:keepNext/>
      <w:keepLines/>
      <w:numPr>
        <w:ilvl w:val="2"/>
        <w:numId w:val="1"/>
      </w:numPr>
      <w:tabs>
        <w:tab w:val="left" w:pos="1800"/>
      </w:tabs>
      <w:spacing w:before="120" w:after="120" w:line="240" w:lineRule="auto"/>
      <w:outlineLvl w:val="2"/>
    </w:pPr>
    <w:rPr>
      <w:rFonts w:eastAsia="微软雅黑"/>
      <w:b/>
      <w:bCs/>
      <w:sz w:val="30"/>
      <w:szCs w:val="32"/>
      <w:lang w:val="zh-CN"/>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footnote reference"/>
    <w:basedOn w:val="10"/>
    <w:qFormat/>
    <w:uiPriority w:val="0"/>
    <w:rPr>
      <w:vertAlign w:val="superscript"/>
    </w:rPr>
  </w:style>
  <w:style w:type="paragraph" w:customStyle="1" w:styleId="12">
    <w:name w:val="List Paragraph"/>
    <w:basedOn w:val="1"/>
    <w:qFormat/>
    <w:uiPriority w:val="0"/>
    <w:pPr>
      <w:spacing w:line="360" w:lineRule="auto"/>
      <w:ind w:firstLine="420" w:firstLineChars="200"/>
    </w:pPr>
    <w:rPr>
      <w:rFonts w:ascii="Times New Roman" w:hAnsi="Times New Roman" w:cs="Times New Roman"/>
      <w:lang w:val="zh-CN"/>
    </w:rPr>
  </w:style>
  <w:style w:type="paragraph" w:customStyle="1" w:styleId="13">
    <w:name w:val="列表段落1"/>
    <w:basedOn w:val="1"/>
    <w:qFormat/>
    <w:uiPriority w:val="99"/>
    <w:pPr>
      <w:spacing w:line="360" w:lineRule="auto"/>
      <w:ind w:firstLine="420" w:firstLineChars="200"/>
    </w:pPr>
    <w:rPr>
      <w:rFonts w:cs="Times New Roman"/>
      <w:sz w:val="28"/>
    </w:rPr>
  </w:style>
  <w:style w:type="paragraph" w:customStyle="1" w:styleId="14">
    <w:name w:val="FIS正文"/>
    <w:basedOn w:val="1"/>
    <w:qFormat/>
    <w:uiPriority w:val="0"/>
    <w:pPr>
      <w:spacing w:before="120" w:after="120" w:line="360" w:lineRule="auto"/>
      <w:ind w:firstLine="420"/>
      <w:jc w:val="left"/>
    </w:pPr>
    <w:rPr>
      <w:rFonts w:ascii="宋体" w:hAnsi="宋体" w:eastAsia="宋体" w:cs="Times New Roman"/>
      <w:szCs w:val="28"/>
    </w:rPr>
  </w:style>
  <w:style w:type="character" w:customStyle="1" w:styleId="15">
    <w:name w:val="font71"/>
    <w:basedOn w:val="10"/>
    <w:qFormat/>
    <w:uiPriority w:val="0"/>
    <w:rPr>
      <w:rFonts w:hint="eastAsia" w:ascii="宋体" w:hAnsi="宋体" w:eastAsia="宋体" w:cs="宋体"/>
      <w:b/>
      <w:color w:val="000000"/>
      <w:sz w:val="20"/>
      <w:szCs w:val="20"/>
    </w:rPr>
  </w:style>
  <w:style w:type="character" w:customStyle="1" w:styleId="16">
    <w:name w:val="font61"/>
    <w:basedOn w:val="10"/>
    <w:qFormat/>
    <w:uiPriority w:val="0"/>
    <w:rPr>
      <w:rFonts w:hint="eastAsia" w:ascii="宋体" w:hAnsi="宋体" w:eastAsia="宋体" w:cs="宋体"/>
      <w:color w:val="000000"/>
      <w:sz w:val="20"/>
      <w:szCs w:val="20"/>
    </w:rPr>
  </w:style>
  <w:style w:type="character" w:customStyle="1" w:styleId="17">
    <w:name w:val="页眉 Char"/>
    <w:basedOn w:val="10"/>
    <w:link w:val="6"/>
    <w:qFormat/>
    <w:uiPriority w:val="0"/>
    <w:rPr>
      <w:rFonts w:ascii="Calibri" w:hAnsi="Calibri" w:cs="黑体"/>
      <w:kern w:val="2"/>
      <w:sz w:val="18"/>
      <w:szCs w:val="18"/>
    </w:rPr>
  </w:style>
  <w:style w:type="character" w:customStyle="1" w:styleId="18">
    <w:name w:val="页脚 Char"/>
    <w:basedOn w:val="10"/>
    <w:link w:val="5"/>
    <w:qFormat/>
    <w:uiPriority w:val="99"/>
    <w:rPr>
      <w:rFonts w:ascii="Calibri" w:hAnsi="Calibri" w:cs="黑体"/>
      <w:kern w:val="2"/>
      <w:sz w:val="18"/>
      <w:szCs w:val="18"/>
    </w:rPr>
  </w:style>
  <w:style w:type="character" w:customStyle="1" w:styleId="19">
    <w:name w:val="标题 2 字符"/>
    <w:basedOn w:val="10"/>
    <w:link w:val="3"/>
    <w:qFormat/>
    <w:uiPriority w:val="9"/>
    <w:rPr>
      <w:rFonts w:ascii="Cambria" w:hAnsi="Cambria" w:eastAsia="宋体" w:cs="黑体"/>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1005</Words>
  <Characters>5729</Characters>
  <Lines>47</Lines>
  <Paragraphs>13</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2018-09-03T07:48:00Z</dcterms:created>
  <dc:creator>Administrator</dc:creator>
  <cp:lastModifiedBy>TangPan</cp:lastModifiedBy>
  <cp:lastPrinted>2019-12-25T08:26:00Z</cp:lastPrinted>
  <dcterms:modified xsi:type="dcterms:W3CDTF">2020-11-17T10:26:40Z</dcterms:modified>
  <dc:title>关于小微企业金融服务“两增两控”考核指标执行和完成情况的汇报_x000b_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