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34829">
      <w:pPr>
        <w:spacing w:line="580" w:lineRule="exact"/>
        <w:jc w:val="center"/>
        <w:rPr>
          <w:rFonts w:hint="eastAsia" w:ascii="黑体" w:hAnsi="黑体" w:eastAsia="黑体" w:cs="黑体"/>
          <w:bCs/>
          <w:kern w:val="0"/>
          <w:sz w:val="32"/>
          <w:szCs w:val="32"/>
        </w:rPr>
      </w:pPr>
      <w:bookmarkStart w:id="1" w:name="_GoBack"/>
      <w:bookmarkEnd w:id="1"/>
      <w:r>
        <w:rPr>
          <w:rFonts w:hint="eastAsia" w:ascii="黑体" w:hAnsi="黑体" w:eastAsia="黑体" w:cs="黑体"/>
          <w:bCs/>
          <w:kern w:val="0"/>
          <w:sz w:val="32"/>
          <w:szCs w:val="32"/>
        </w:rPr>
        <w:t>长沙农村商业银行股份有限公司福祥·金种子</w:t>
      </w:r>
    </w:p>
    <w:p w14:paraId="24CE1782">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智盈半年定开2号</w:t>
      </w:r>
      <w:r>
        <w:rPr>
          <w:rFonts w:hint="eastAsia" w:ascii="黑体" w:hAnsi="黑体" w:eastAsia="黑体" w:cs="黑体"/>
          <w:bCs/>
          <w:kern w:val="0"/>
          <w:sz w:val="32"/>
          <w:szCs w:val="32"/>
        </w:rPr>
        <w:t>理财产品说明书</w:t>
      </w:r>
    </w:p>
    <w:p w14:paraId="769BEF86">
      <w:pPr>
        <w:spacing w:line="580" w:lineRule="exact"/>
        <w:jc w:val="center"/>
        <w:rPr>
          <w:rFonts w:hint="eastAsia" w:ascii="黑体" w:hAnsi="黑体" w:eastAsia="黑体" w:cs="黑体"/>
          <w:bCs/>
          <w:kern w:val="0"/>
          <w:sz w:val="32"/>
          <w:szCs w:val="32"/>
        </w:rPr>
      </w:pPr>
    </w:p>
    <w:p w14:paraId="65F97998">
      <w:pPr>
        <w:keepNext w:val="0"/>
        <w:keepLines w:val="0"/>
        <w:pageBreakBefore w:val="0"/>
        <w:kinsoku/>
        <w:wordWrap/>
        <w:overflowPunct/>
        <w:topLinePunct w:val="0"/>
        <w:autoSpaceDE/>
        <w:autoSpaceDN/>
        <w:bidi w:val="0"/>
        <w:adjustRightInd/>
        <w:snapToGrid/>
        <w:spacing w:line="240" w:lineRule="auto"/>
        <w:ind w:left="0" w:firstLine="0" w:firstLineChars="0"/>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14:paraId="19FD1004">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14:paraId="09D4698B">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 xml:space="preserve"> 一、重要须知</w:t>
      </w:r>
    </w:p>
    <w:p w14:paraId="388308AD">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14:paraId="0BDD691D">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14:paraId="570B8598">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14:paraId="2899173A">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14:paraId="706BF8A2">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u w:val="none"/>
        </w:rPr>
      </w:pPr>
      <w:r>
        <w:rPr>
          <w:rFonts w:hint="eastAsia" w:ascii="仿宋" w:hAnsi="仿宋" w:eastAsia="仿宋" w:cs="仿宋"/>
          <w:kern w:val="0"/>
          <w:sz w:val="24"/>
          <w:u w:val="none"/>
        </w:rPr>
        <w:t> </w:t>
      </w:r>
      <w:r>
        <w:rPr>
          <w:rFonts w:hint="eastAsia" w:ascii="仿宋" w:hAnsi="仿宋" w:eastAsia="仿宋" w:cs="仿宋"/>
          <w:b/>
          <w:bCs/>
          <w:kern w:val="0"/>
          <w:sz w:val="24"/>
          <w:u w:val="none"/>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u w:val="none"/>
        </w:rPr>
        <w:t xml:space="preserve"> </w:t>
      </w:r>
    </w:p>
    <w:p w14:paraId="7FB9FB76">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14:paraId="4E074774">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b/>
          <w:bCs/>
          <w:kern w:val="0"/>
          <w:sz w:val="24"/>
          <w:u w:val="none"/>
        </w:rPr>
      </w:pPr>
      <w:r>
        <w:rPr>
          <w:rFonts w:hint="eastAsia" w:ascii="仿宋" w:hAnsi="仿宋" w:eastAsia="仿宋" w:cs="仿宋"/>
          <w:b/>
          <w:bCs/>
          <w:kern w:val="0"/>
          <w:sz w:val="24"/>
          <w:u w:val="none"/>
        </w:rPr>
        <w:t>7、本理财产品为非保本浮动收益型产品，您的本金可能会因市场变动而蒙受重大损失，您应充分认识投资风险，谨慎投资。</w:t>
      </w:r>
    </w:p>
    <w:p w14:paraId="45794FB7">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8、</w:t>
      </w:r>
      <w:bookmarkStart w:id="0" w:name="_Hlk56522822"/>
      <w:r>
        <w:rPr>
          <w:rFonts w:hint="eastAsia" w:ascii="仿宋" w:hAnsi="仿宋" w:eastAsia="仿宋" w:cs="仿宋"/>
          <w:kern w:val="0"/>
          <w:sz w:val="24"/>
        </w:rPr>
        <w:t>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bookmarkEnd w:id="0"/>
    </w:p>
    <w:p w14:paraId="4836402A">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14:paraId="450E7F28">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u w:val="none"/>
        </w:rPr>
      </w:pPr>
      <w:r>
        <w:rPr>
          <w:rFonts w:hint="eastAsia" w:ascii="仿宋" w:hAnsi="仿宋" w:eastAsia="仿宋" w:cs="仿宋"/>
          <w:b/>
          <w:bCs/>
          <w:kern w:val="0"/>
          <w:sz w:val="24"/>
          <w:u w:val="none"/>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14:paraId="0723EE18">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14:paraId="44C42809">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二、理财产品基本要素</w:t>
      </w:r>
    </w:p>
    <w:tbl>
      <w:tblPr>
        <w:tblStyle w:val="2"/>
        <w:tblW w:w="8895"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2"/>
        <w:gridCol w:w="7213"/>
      </w:tblGrid>
      <w:tr w14:paraId="0A2E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82" w:type="dxa"/>
            <w:tcMar>
              <w:top w:w="45" w:type="dxa"/>
              <w:left w:w="45" w:type="dxa"/>
              <w:bottom w:w="45" w:type="dxa"/>
              <w:right w:w="45" w:type="dxa"/>
            </w:tcMar>
            <w:vAlign w:val="top"/>
          </w:tcPr>
          <w:p w14:paraId="68EAD46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213" w:type="dxa"/>
            <w:tcMar>
              <w:top w:w="45" w:type="dxa"/>
              <w:left w:w="45" w:type="dxa"/>
              <w:bottom w:w="45" w:type="dxa"/>
              <w:right w:w="45" w:type="dxa"/>
            </w:tcMar>
            <w:vAlign w:val="center"/>
          </w:tcPr>
          <w:p w14:paraId="0CD47BF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智盈半年定开2号</w:t>
            </w:r>
            <w:r>
              <w:rPr>
                <w:rFonts w:hint="eastAsia" w:ascii="仿宋" w:hAnsi="仿宋" w:eastAsia="仿宋" w:cs="仿宋"/>
                <w:kern w:val="0"/>
                <w:sz w:val="24"/>
              </w:rPr>
              <w:t>理财产品</w:t>
            </w:r>
          </w:p>
        </w:tc>
      </w:tr>
      <w:tr w14:paraId="6DAE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82" w:type="dxa"/>
            <w:tcMar>
              <w:top w:w="45" w:type="dxa"/>
              <w:left w:w="45" w:type="dxa"/>
              <w:bottom w:w="45" w:type="dxa"/>
              <w:right w:w="45" w:type="dxa"/>
            </w:tcMar>
            <w:vAlign w:val="top"/>
          </w:tcPr>
          <w:p w14:paraId="7F5EC63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213" w:type="dxa"/>
            <w:tcMar>
              <w:top w:w="45" w:type="dxa"/>
              <w:left w:w="45" w:type="dxa"/>
              <w:bottom w:w="45" w:type="dxa"/>
              <w:right w:w="45" w:type="dxa"/>
            </w:tcMar>
            <w:vAlign w:val="top"/>
          </w:tcPr>
          <w:p w14:paraId="673E1A49">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22007</w:t>
            </w:r>
          </w:p>
        </w:tc>
      </w:tr>
      <w:tr w14:paraId="1214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682" w:type="dxa"/>
            <w:tcMar>
              <w:top w:w="45" w:type="dxa"/>
              <w:left w:w="45" w:type="dxa"/>
              <w:bottom w:w="45" w:type="dxa"/>
              <w:right w:w="45" w:type="dxa"/>
            </w:tcMar>
            <w:vAlign w:val="top"/>
          </w:tcPr>
          <w:p w14:paraId="34E40E5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lang w:val="en-US" w:eastAsia="zh-CN"/>
              </w:rPr>
              <w:t>产品登记</w:t>
            </w:r>
            <w:r>
              <w:rPr>
                <w:rFonts w:hint="eastAsia" w:ascii="仿宋" w:hAnsi="仿宋" w:eastAsia="仿宋" w:cs="仿宋"/>
                <w:b/>
                <w:bCs/>
                <w:color w:val="333333"/>
                <w:kern w:val="0"/>
                <w:sz w:val="24"/>
              </w:rPr>
              <w:t>编码</w:t>
            </w:r>
          </w:p>
        </w:tc>
        <w:tc>
          <w:tcPr>
            <w:tcW w:w="7213" w:type="dxa"/>
            <w:tcMar>
              <w:top w:w="45" w:type="dxa"/>
              <w:left w:w="45" w:type="dxa"/>
              <w:bottom w:w="45" w:type="dxa"/>
              <w:right w:w="45" w:type="dxa"/>
            </w:tcMar>
            <w:vAlign w:val="top"/>
          </w:tcPr>
          <w:p w14:paraId="74ABA37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baseline"/>
              <w:rPr>
                <w:rFonts w:hint="eastAsia" w:ascii="仿宋" w:hAnsi="仿宋" w:eastAsia="仿宋" w:cs="仿宋"/>
                <w:kern w:val="0"/>
                <w:sz w:val="24"/>
              </w:rPr>
            </w:pPr>
            <w:r>
              <w:rPr>
                <w:rFonts w:hint="eastAsia" w:ascii="仿宋" w:hAnsi="仿宋" w:eastAsia="仿宋" w:cs="仿宋"/>
                <w:kern w:val="0"/>
                <w:sz w:val="24"/>
                <w:lang w:val="en-US" w:eastAsia="zh-CN"/>
              </w:rPr>
              <w:t>C1113222000005</w:t>
            </w:r>
            <w:r>
              <w:rPr>
                <w:rFonts w:hint="eastAsia" w:ascii="仿宋" w:hAnsi="仿宋" w:eastAsia="仿宋" w:cs="仿宋"/>
                <w:color w:val="333333"/>
                <w:kern w:val="0"/>
                <w:sz w:val="24"/>
              </w:rPr>
              <w:t>投资者可依据该编码在"中国理财网（www.chinawealth.com.cn）"查询产品信息</w:t>
            </w:r>
          </w:p>
        </w:tc>
      </w:tr>
      <w:tr w14:paraId="4671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682" w:type="dxa"/>
            <w:tcMar>
              <w:top w:w="45" w:type="dxa"/>
              <w:left w:w="45" w:type="dxa"/>
              <w:bottom w:w="45" w:type="dxa"/>
              <w:right w:w="45" w:type="dxa"/>
            </w:tcMar>
            <w:vAlign w:val="top"/>
          </w:tcPr>
          <w:p w14:paraId="0BA8BEE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213" w:type="dxa"/>
            <w:tcMar>
              <w:top w:w="45" w:type="dxa"/>
              <w:left w:w="45" w:type="dxa"/>
              <w:bottom w:w="45" w:type="dxa"/>
              <w:right w:w="45" w:type="dxa"/>
            </w:tcMar>
            <w:vAlign w:val="top"/>
          </w:tcPr>
          <w:p w14:paraId="546A762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14:paraId="6563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682" w:type="dxa"/>
            <w:tcMar>
              <w:top w:w="45" w:type="dxa"/>
              <w:left w:w="45" w:type="dxa"/>
              <w:bottom w:w="45" w:type="dxa"/>
              <w:right w:w="45" w:type="dxa"/>
            </w:tcMar>
            <w:vAlign w:val="top"/>
          </w:tcPr>
          <w:p w14:paraId="507D9FE7">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213" w:type="dxa"/>
            <w:tcMar>
              <w:top w:w="45" w:type="dxa"/>
              <w:left w:w="45" w:type="dxa"/>
              <w:bottom w:w="45" w:type="dxa"/>
              <w:right w:w="45" w:type="dxa"/>
            </w:tcMar>
            <w:vAlign w:val="top"/>
          </w:tcPr>
          <w:p w14:paraId="1E9BD83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定期开放式</w:t>
            </w:r>
            <w:r>
              <w:rPr>
                <w:rFonts w:hint="eastAsia" w:ascii="仿宋" w:hAnsi="仿宋" w:eastAsia="仿宋" w:cs="仿宋"/>
                <w:color w:val="333333"/>
                <w:kern w:val="0"/>
                <w:sz w:val="24"/>
              </w:rPr>
              <w:t>固定收益类公募产品</w:t>
            </w:r>
          </w:p>
        </w:tc>
      </w:tr>
      <w:tr w14:paraId="42F3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82" w:type="dxa"/>
            <w:tcMar>
              <w:top w:w="45" w:type="dxa"/>
              <w:left w:w="45" w:type="dxa"/>
              <w:bottom w:w="45" w:type="dxa"/>
              <w:right w:w="45" w:type="dxa"/>
            </w:tcMar>
            <w:vAlign w:val="top"/>
          </w:tcPr>
          <w:p w14:paraId="5F984AD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213" w:type="dxa"/>
            <w:tcMar>
              <w:top w:w="45" w:type="dxa"/>
              <w:left w:w="45" w:type="dxa"/>
              <w:bottom w:w="45" w:type="dxa"/>
              <w:right w:w="45" w:type="dxa"/>
            </w:tcMar>
            <w:vAlign w:val="top"/>
          </w:tcPr>
          <w:p w14:paraId="69DACC8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14:paraId="0725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82" w:type="dxa"/>
            <w:tcMar>
              <w:top w:w="45" w:type="dxa"/>
              <w:left w:w="45" w:type="dxa"/>
              <w:bottom w:w="45" w:type="dxa"/>
              <w:right w:w="45" w:type="dxa"/>
            </w:tcMar>
            <w:vAlign w:val="top"/>
          </w:tcPr>
          <w:p w14:paraId="5172443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213" w:type="dxa"/>
            <w:tcMar>
              <w:top w:w="45" w:type="dxa"/>
              <w:left w:w="45" w:type="dxa"/>
              <w:bottom w:w="45" w:type="dxa"/>
              <w:right w:w="45" w:type="dxa"/>
            </w:tcMar>
            <w:vAlign w:val="top"/>
          </w:tcPr>
          <w:p w14:paraId="6E8F33E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14:paraId="7E89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82" w:type="dxa"/>
            <w:tcMar>
              <w:top w:w="45" w:type="dxa"/>
              <w:left w:w="45" w:type="dxa"/>
              <w:bottom w:w="45" w:type="dxa"/>
              <w:right w:w="45" w:type="dxa"/>
            </w:tcMar>
            <w:vAlign w:val="top"/>
          </w:tcPr>
          <w:p w14:paraId="0D3A296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213" w:type="dxa"/>
            <w:tcMar>
              <w:top w:w="45" w:type="dxa"/>
              <w:left w:w="45" w:type="dxa"/>
              <w:bottom w:w="45" w:type="dxa"/>
              <w:right w:w="45" w:type="dxa"/>
            </w:tcMar>
            <w:vAlign w:val="top"/>
          </w:tcPr>
          <w:p w14:paraId="3BAC381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14:paraId="3B2A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82" w:type="dxa"/>
            <w:tcMar>
              <w:top w:w="45" w:type="dxa"/>
              <w:left w:w="45" w:type="dxa"/>
              <w:bottom w:w="45" w:type="dxa"/>
              <w:right w:w="45" w:type="dxa"/>
            </w:tcMar>
            <w:vAlign w:val="top"/>
          </w:tcPr>
          <w:p w14:paraId="00BF3F0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213" w:type="dxa"/>
            <w:tcMar>
              <w:top w:w="45" w:type="dxa"/>
              <w:left w:w="45" w:type="dxa"/>
              <w:bottom w:w="45" w:type="dxa"/>
              <w:right w:w="45" w:type="dxa"/>
            </w:tcMar>
            <w:vAlign w:val="top"/>
          </w:tcPr>
          <w:p w14:paraId="6EBB6FB9">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14:paraId="500716B9">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14:paraId="2E4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82" w:type="dxa"/>
            <w:tcMar>
              <w:top w:w="45" w:type="dxa"/>
              <w:left w:w="45" w:type="dxa"/>
              <w:bottom w:w="45" w:type="dxa"/>
              <w:right w:w="45" w:type="dxa"/>
            </w:tcMar>
            <w:vAlign w:val="top"/>
          </w:tcPr>
          <w:p w14:paraId="1D2B4A4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213" w:type="dxa"/>
            <w:tcMar>
              <w:top w:w="45" w:type="dxa"/>
              <w:left w:w="45" w:type="dxa"/>
              <w:bottom w:w="45" w:type="dxa"/>
              <w:right w:w="45" w:type="dxa"/>
            </w:tcMar>
            <w:vAlign w:val="top"/>
          </w:tcPr>
          <w:p w14:paraId="17B3A8EF">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14:paraId="6457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82" w:type="dxa"/>
            <w:tcMar>
              <w:top w:w="45" w:type="dxa"/>
              <w:left w:w="45" w:type="dxa"/>
              <w:bottom w:w="45" w:type="dxa"/>
              <w:right w:w="45" w:type="dxa"/>
            </w:tcMar>
            <w:vAlign w:val="top"/>
          </w:tcPr>
          <w:p w14:paraId="31250BB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213" w:type="dxa"/>
            <w:tcMar>
              <w:top w:w="45" w:type="dxa"/>
              <w:left w:w="45" w:type="dxa"/>
              <w:bottom w:w="45" w:type="dxa"/>
              <w:right w:w="45" w:type="dxa"/>
            </w:tcMar>
            <w:vAlign w:val="top"/>
          </w:tcPr>
          <w:p w14:paraId="3CD09A1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10</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14:paraId="62C5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06D034B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213" w:type="dxa"/>
            <w:tcMar>
              <w:top w:w="45" w:type="dxa"/>
              <w:left w:w="45" w:type="dxa"/>
              <w:bottom w:w="45" w:type="dxa"/>
              <w:right w:w="45" w:type="dxa"/>
            </w:tcMar>
            <w:vAlign w:val="top"/>
          </w:tcPr>
          <w:p w14:paraId="3FEF8E7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14:paraId="429B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76145B7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213" w:type="dxa"/>
            <w:tcMar>
              <w:top w:w="45" w:type="dxa"/>
              <w:left w:w="45" w:type="dxa"/>
              <w:bottom w:w="45" w:type="dxa"/>
              <w:right w:w="45" w:type="dxa"/>
            </w:tcMar>
            <w:vAlign w:val="top"/>
          </w:tcPr>
          <w:p w14:paraId="0719D0C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eastAsia="zh-CN"/>
              </w:rPr>
              <w:t>2022年4月20日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2022年4月27日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14:paraId="7FF5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82" w:type="dxa"/>
            <w:tcMar>
              <w:top w:w="45" w:type="dxa"/>
              <w:left w:w="45" w:type="dxa"/>
              <w:bottom w:w="45" w:type="dxa"/>
              <w:right w:w="45" w:type="dxa"/>
            </w:tcMar>
            <w:vAlign w:val="top"/>
          </w:tcPr>
          <w:p w14:paraId="5DB7C73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213" w:type="dxa"/>
            <w:tcMar>
              <w:top w:w="45" w:type="dxa"/>
              <w:left w:w="45" w:type="dxa"/>
              <w:bottom w:w="45" w:type="dxa"/>
              <w:right w:w="45" w:type="dxa"/>
            </w:tcMar>
            <w:vAlign w:val="top"/>
          </w:tcPr>
          <w:p w14:paraId="24409F6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eastAsia="zh-CN"/>
              </w:rPr>
            </w:pPr>
            <w:r>
              <w:rPr>
                <w:rFonts w:hint="eastAsia" w:ascii="仿宋" w:hAnsi="仿宋" w:eastAsia="仿宋" w:cs="仿宋"/>
                <w:kern w:val="0"/>
                <w:sz w:val="24"/>
                <w:lang w:eastAsia="zh-CN"/>
              </w:rPr>
              <w:t>2022年4月2</w:t>
            </w:r>
            <w:r>
              <w:rPr>
                <w:rFonts w:hint="eastAsia" w:ascii="仿宋" w:hAnsi="仿宋" w:eastAsia="仿宋" w:cs="仿宋"/>
                <w:kern w:val="0"/>
                <w:sz w:val="24"/>
                <w:lang w:val="en-US" w:eastAsia="zh-CN"/>
              </w:rPr>
              <w:t>8</w:t>
            </w:r>
            <w:r>
              <w:rPr>
                <w:rFonts w:hint="eastAsia" w:ascii="仿宋" w:hAnsi="仿宋" w:eastAsia="仿宋" w:cs="仿宋"/>
                <w:kern w:val="0"/>
                <w:sz w:val="24"/>
                <w:lang w:eastAsia="zh-CN"/>
              </w:rPr>
              <w:t>日</w:t>
            </w:r>
          </w:p>
        </w:tc>
      </w:tr>
      <w:tr w14:paraId="55ED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82" w:type="dxa"/>
            <w:tcMar>
              <w:top w:w="45" w:type="dxa"/>
              <w:left w:w="45" w:type="dxa"/>
              <w:bottom w:w="45" w:type="dxa"/>
              <w:right w:w="45" w:type="dxa"/>
            </w:tcMar>
            <w:vAlign w:val="top"/>
          </w:tcPr>
          <w:p w14:paraId="733679C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213" w:type="dxa"/>
            <w:tcMar>
              <w:top w:w="45" w:type="dxa"/>
              <w:left w:w="45" w:type="dxa"/>
              <w:bottom w:w="45" w:type="dxa"/>
              <w:right w:w="45" w:type="dxa"/>
            </w:tcMar>
            <w:vAlign w:val="top"/>
          </w:tcPr>
          <w:p w14:paraId="4767CA2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14:paraId="62A3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1A3657A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213" w:type="dxa"/>
            <w:tcMar>
              <w:top w:w="45" w:type="dxa"/>
              <w:left w:w="45" w:type="dxa"/>
              <w:bottom w:w="45" w:type="dxa"/>
              <w:right w:w="45" w:type="dxa"/>
            </w:tcMar>
            <w:vAlign w:val="top"/>
          </w:tcPr>
          <w:p w14:paraId="63253F5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6个月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14:paraId="455C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0C14469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213" w:type="dxa"/>
            <w:tcMar>
              <w:top w:w="45" w:type="dxa"/>
              <w:left w:w="45" w:type="dxa"/>
              <w:bottom w:w="45" w:type="dxa"/>
              <w:right w:w="45" w:type="dxa"/>
            </w:tcMar>
            <w:vAlign w:val="top"/>
          </w:tcPr>
          <w:p w14:paraId="72DD3897">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成立后每年5月10日、11月10日为开放日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lang w:val="en-US" w:eastAsia="zh-CN"/>
              </w:rPr>
              <w:t>及撤销</w:t>
            </w:r>
            <w:r>
              <w:rPr>
                <w:rFonts w:ascii="仿宋" w:hAnsi="仿宋" w:eastAsia="仿宋" w:cs="仿宋"/>
                <w:kern w:val="0"/>
                <w:sz w:val="24"/>
                <w:highlight w:val="none"/>
              </w:rPr>
              <w:t>。</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14:paraId="4D17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13A737C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213" w:type="dxa"/>
            <w:tcMar>
              <w:top w:w="45" w:type="dxa"/>
              <w:left w:w="45" w:type="dxa"/>
              <w:bottom w:w="45" w:type="dxa"/>
              <w:right w:w="45" w:type="dxa"/>
            </w:tcMar>
            <w:vAlign w:val="top"/>
          </w:tcPr>
          <w:p w14:paraId="1797506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14:paraId="323E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14C5756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rPr>
            </w:pPr>
            <w:r>
              <w:rPr>
                <w:rFonts w:hint="eastAsia" w:ascii="仿宋" w:hAnsi="仿宋" w:eastAsia="仿宋" w:cs="仿宋"/>
                <w:b/>
                <w:bCs/>
                <w:color w:val="333333"/>
                <w:kern w:val="0"/>
                <w:sz w:val="24"/>
                <w:highlight w:val="none"/>
                <w:lang w:val="en-US" w:eastAsia="zh-CN"/>
              </w:rPr>
              <w:t>申购</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213" w:type="dxa"/>
            <w:tcMar>
              <w:top w:w="45" w:type="dxa"/>
              <w:left w:w="45" w:type="dxa"/>
              <w:bottom w:w="45" w:type="dxa"/>
              <w:right w:w="45" w:type="dxa"/>
            </w:tcMar>
            <w:vAlign w:val="top"/>
          </w:tcPr>
          <w:p w14:paraId="443813B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highlight w:val="none"/>
              </w:rPr>
              <w:t>开放日前</w:t>
            </w:r>
            <w:r>
              <w:rPr>
                <w:rFonts w:hint="eastAsia" w:ascii="仿宋" w:hAnsi="仿宋" w:eastAsia="仿宋" w:cs="仿宋"/>
                <w:b/>
                <w:bCs/>
                <w:color w:val="333333"/>
                <w:kern w:val="0"/>
                <w:sz w:val="24"/>
                <w:highlight w:val="none"/>
                <w:lang w:val="en-US" w:eastAsia="zh-CN"/>
              </w:rPr>
              <w:t>20</w:t>
            </w:r>
            <w:r>
              <w:rPr>
                <w:rFonts w:hint="eastAsia" w:ascii="仿宋" w:hAnsi="仿宋" w:eastAsia="仿宋" w:cs="仿宋"/>
                <w:b/>
                <w:bCs/>
                <w:color w:val="333333"/>
                <w:kern w:val="0"/>
                <w:sz w:val="24"/>
                <w:highlight w:val="none"/>
              </w:rPr>
              <w:t>天8:00至产品开放</w:t>
            </w:r>
            <w:r>
              <w:rPr>
                <w:rFonts w:hint="eastAsia" w:ascii="仿宋" w:hAnsi="仿宋" w:eastAsia="仿宋" w:cs="仿宋"/>
                <w:b/>
                <w:bCs/>
                <w:color w:val="333333"/>
                <w:kern w:val="0"/>
                <w:sz w:val="24"/>
                <w:highlight w:val="none"/>
                <w:lang w:val="en-US" w:eastAsia="zh-CN"/>
              </w:rPr>
              <w:t>日</w:t>
            </w:r>
            <w:r>
              <w:rPr>
                <w:rFonts w:hint="eastAsia" w:ascii="仿宋" w:hAnsi="仿宋" w:eastAsia="仿宋" w:cs="仿宋"/>
                <w:b/>
                <w:bCs/>
                <w:color w:val="333333"/>
                <w:kern w:val="0"/>
                <w:sz w:val="24"/>
                <w:highlight w:val="none"/>
              </w:rPr>
              <w:t>前</w:t>
            </w:r>
            <w:r>
              <w:rPr>
                <w:rFonts w:hint="eastAsia" w:ascii="仿宋" w:hAnsi="仿宋" w:eastAsia="仿宋" w:cs="仿宋"/>
                <w:b/>
                <w:bCs/>
                <w:color w:val="333333"/>
                <w:kern w:val="0"/>
                <w:sz w:val="24"/>
                <w:highlight w:val="none"/>
                <w:lang w:val="en-US" w:eastAsia="zh-CN"/>
              </w:rPr>
              <w:t>为申购及赎回期</w:t>
            </w:r>
            <w:r>
              <w:rPr>
                <w:rFonts w:hint="eastAsia" w:ascii="仿宋" w:hAnsi="仿宋" w:eastAsia="仿宋" w:cs="仿宋"/>
                <w:b/>
                <w:bCs/>
                <w:color w:val="333333"/>
                <w:kern w:val="0"/>
                <w:sz w:val="24"/>
                <w:highlight w:val="none"/>
              </w:rPr>
              <w:t>，可接受申购、赎回</w:t>
            </w:r>
            <w:r>
              <w:rPr>
                <w:rFonts w:hint="eastAsia" w:ascii="仿宋" w:hAnsi="仿宋" w:eastAsia="仿宋" w:cs="仿宋"/>
                <w:b/>
                <w:bCs/>
                <w:color w:val="333333"/>
                <w:kern w:val="0"/>
                <w:sz w:val="24"/>
                <w:highlight w:val="none"/>
                <w:lang w:val="en-US" w:eastAsia="zh-CN"/>
              </w:rPr>
              <w:t>申请及撤销</w:t>
            </w:r>
            <w:r>
              <w:rPr>
                <w:rFonts w:hint="eastAsia" w:ascii="仿宋" w:hAnsi="仿宋" w:eastAsia="仿宋" w:cs="仿宋"/>
                <w:b/>
                <w:bCs/>
                <w:color w:val="333333"/>
                <w:kern w:val="0"/>
                <w:sz w:val="24"/>
                <w:highlight w:val="none"/>
              </w:rPr>
              <w:t>。申购</w:t>
            </w:r>
            <w:r>
              <w:rPr>
                <w:rFonts w:hint="eastAsia" w:ascii="仿宋" w:hAnsi="仿宋" w:eastAsia="仿宋" w:cs="仿宋"/>
                <w:b/>
                <w:bCs/>
                <w:color w:val="333333"/>
                <w:kern w:val="0"/>
                <w:sz w:val="24"/>
                <w:highlight w:val="none"/>
                <w:lang w:val="en-US" w:eastAsia="zh-CN"/>
              </w:rPr>
              <w:t>及</w:t>
            </w:r>
            <w:r>
              <w:rPr>
                <w:rFonts w:hint="eastAsia" w:ascii="仿宋" w:hAnsi="仿宋" w:eastAsia="仿宋" w:cs="仿宋"/>
                <w:b/>
                <w:bCs/>
                <w:color w:val="333333"/>
                <w:kern w:val="0"/>
                <w:sz w:val="24"/>
                <w:highlight w:val="none"/>
              </w:rPr>
              <w:t>赎回申请视同在开放日开放时间内的申购</w:t>
            </w:r>
            <w:r>
              <w:rPr>
                <w:rFonts w:hint="eastAsia" w:ascii="仿宋" w:hAnsi="仿宋" w:eastAsia="仿宋" w:cs="仿宋"/>
                <w:b/>
                <w:bCs/>
                <w:color w:val="333333"/>
                <w:kern w:val="0"/>
                <w:sz w:val="24"/>
                <w:highlight w:val="none"/>
                <w:lang w:val="en-US" w:eastAsia="zh-CN"/>
              </w:rPr>
              <w:t>及</w:t>
            </w:r>
            <w:r>
              <w:rPr>
                <w:rFonts w:hint="eastAsia" w:ascii="仿宋" w:hAnsi="仿宋" w:eastAsia="仿宋" w:cs="仿宋"/>
                <w:b/>
                <w:bCs/>
                <w:color w:val="333333"/>
                <w:kern w:val="0"/>
                <w:sz w:val="24"/>
                <w:highlight w:val="none"/>
              </w:rPr>
              <w:t>赎回申请。</w:t>
            </w:r>
          </w:p>
        </w:tc>
      </w:tr>
      <w:tr w14:paraId="1129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7A65861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213" w:type="dxa"/>
            <w:tcMar>
              <w:top w:w="45" w:type="dxa"/>
              <w:left w:w="45" w:type="dxa"/>
              <w:bottom w:w="45" w:type="dxa"/>
              <w:right w:w="45" w:type="dxa"/>
            </w:tcMar>
            <w:vAlign w:val="top"/>
          </w:tcPr>
          <w:p w14:paraId="018FF5B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val="en-US" w:eastAsia="zh-CN"/>
              </w:rPr>
              <w:t>所有申购申请在开放日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一个工作日（T+1日）进行确认。申购确认日即为理财收益计算起始日。</w:t>
            </w:r>
          </w:p>
        </w:tc>
      </w:tr>
      <w:tr w14:paraId="027D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6312275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213" w:type="dxa"/>
            <w:tcMar>
              <w:top w:w="45" w:type="dxa"/>
              <w:left w:w="45" w:type="dxa"/>
              <w:bottom w:w="45" w:type="dxa"/>
              <w:right w:w="45" w:type="dxa"/>
            </w:tcMar>
            <w:vAlign w:val="top"/>
          </w:tcPr>
          <w:p w14:paraId="3237CD9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14:paraId="0C41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1BF6427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kern w:val="0"/>
                <w:sz w:val="24"/>
                <w:lang w:val="en-US" w:eastAsia="zh-CN"/>
              </w:rPr>
            </w:pPr>
            <w:r>
              <w:rPr>
                <w:rFonts w:hint="eastAsia" w:ascii="仿宋" w:hAnsi="仿宋" w:eastAsia="仿宋" w:cs="仿宋"/>
                <w:b/>
                <w:bCs/>
                <w:color w:val="333333"/>
                <w:kern w:val="0"/>
                <w:sz w:val="24"/>
              </w:rPr>
              <w:t>申购</w:t>
            </w:r>
            <w:r>
              <w:rPr>
                <w:rFonts w:hint="eastAsia" w:ascii="仿宋" w:hAnsi="仿宋" w:eastAsia="仿宋" w:cs="仿宋"/>
                <w:b/>
                <w:bCs/>
                <w:color w:val="333333"/>
                <w:kern w:val="0"/>
                <w:sz w:val="24"/>
                <w:lang w:val="en-US" w:eastAsia="zh-CN"/>
              </w:rPr>
              <w:t>金额规定</w:t>
            </w:r>
          </w:p>
        </w:tc>
        <w:tc>
          <w:tcPr>
            <w:tcW w:w="7213" w:type="dxa"/>
            <w:tcMar>
              <w:top w:w="45" w:type="dxa"/>
              <w:left w:w="45" w:type="dxa"/>
              <w:bottom w:w="45" w:type="dxa"/>
              <w:right w:w="45" w:type="dxa"/>
            </w:tcMar>
            <w:vAlign w:val="top"/>
          </w:tcPr>
          <w:p w14:paraId="75F6A1F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14:paraId="5561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71990CE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213" w:type="dxa"/>
            <w:tcMar>
              <w:top w:w="45" w:type="dxa"/>
              <w:left w:w="45" w:type="dxa"/>
              <w:bottom w:w="45" w:type="dxa"/>
              <w:right w:w="45" w:type="dxa"/>
            </w:tcMar>
            <w:vAlign w:val="top"/>
          </w:tcPr>
          <w:p w14:paraId="66E7F40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所有赎回申请在开放日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14:paraId="2A0A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4435439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213" w:type="dxa"/>
            <w:tcMar>
              <w:top w:w="45" w:type="dxa"/>
              <w:left w:w="45" w:type="dxa"/>
              <w:bottom w:w="45" w:type="dxa"/>
              <w:right w:w="45" w:type="dxa"/>
            </w:tcMar>
            <w:vAlign w:val="top"/>
          </w:tcPr>
          <w:p w14:paraId="2516ECF7">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14:paraId="6924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6B2C0D0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rPr>
              <w:t>赎回份额</w:t>
            </w:r>
            <w:r>
              <w:rPr>
                <w:rFonts w:hint="eastAsia" w:ascii="仿宋" w:hAnsi="仿宋" w:eastAsia="仿宋" w:cs="仿宋"/>
                <w:b/>
                <w:bCs/>
                <w:color w:val="333333"/>
                <w:kern w:val="0"/>
                <w:sz w:val="24"/>
                <w:lang w:val="en-US" w:eastAsia="zh-CN"/>
              </w:rPr>
              <w:t>规定</w:t>
            </w:r>
          </w:p>
        </w:tc>
        <w:tc>
          <w:tcPr>
            <w:tcW w:w="7213" w:type="dxa"/>
            <w:tcMar>
              <w:top w:w="45" w:type="dxa"/>
              <w:left w:w="45" w:type="dxa"/>
              <w:bottom w:w="45" w:type="dxa"/>
              <w:right w:w="45" w:type="dxa"/>
            </w:tcMar>
            <w:vAlign w:val="top"/>
          </w:tcPr>
          <w:p w14:paraId="1CAF541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w:t>
            </w:r>
            <w:r>
              <w:rPr>
                <w:rFonts w:hint="eastAsia" w:ascii="仿宋" w:hAnsi="仿宋" w:eastAsia="仿宋" w:cs="仿宋"/>
                <w:color w:val="333333"/>
                <w:kern w:val="0"/>
                <w:sz w:val="24"/>
              </w:rPr>
              <w:t>如</w:t>
            </w:r>
            <w:r>
              <w:rPr>
                <w:rFonts w:hint="eastAsia" w:ascii="仿宋" w:hAnsi="仿宋" w:eastAsia="仿宋" w:cs="仿宋"/>
                <w:color w:val="333333"/>
                <w:kern w:val="0"/>
                <w:sz w:val="24"/>
                <w:lang w:val="en-US" w:eastAsia="zh-CN"/>
              </w:rPr>
              <w:t>投资者</w:t>
            </w:r>
            <w:r>
              <w:rPr>
                <w:rFonts w:hint="eastAsia" w:ascii="仿宋" w:hAnsi="仿宋" w:eastAsia="仿宋" w:cs="仿宋"/>
                <w:color w:val="333333"/>
                <w:kern w:val="0"/>
                <w:sz w:val="24"/>
              </w:rPr>
              <w:t>申请部分赎回，</w:t>
            </w:r>
            <w:r>
              <w:rPr>
                <w:rFonts w:hint="eastAsia" w:ascii="仿宋" w:hAnsi="仿宋" w:eastAsia="仿宋" w:cs="仿宋"/>
                <w:color w:val="333333"/>
                <w:kern w:val="0"/>
                <w:sz w:val="24"/>
                <w:lang w:val="en-US" w:eastAsia="zh-CN"/>
              </w:rPr>
              <w:t>留存的产品</w:t>
            </w:r>
            <w:r>
              <w:rPr>
                <w:rFonts w:hint="eastAsia" w:ascii="仿宋" w:hAnsi="仿宋" w:eastAsia="仿宋" w:cs="仿宋"/>
                <w:color w:val="333333"/>
                <w:kern w:val="0"/>
                <w:sz w:val="24"/>
              </w:rPr>
              <w:t>份额低于</w:t>
            </w:r>
            <w:r>
              <w:rPr>
                <w:rFonts w:hint="eastAsia" w:ascii="仿宋" w:hAnsi="仿宋" w:eastAsia="仿宋" w:cs="仿宋"/>
                <w:color w:val="333333"/>
                <w:kern w:val="0"/>
                <w:sz w:val="24"/>
                <w:lang w:val="en-US" w:eastAsia="zh-CN"/>
              </w:rPr>
              <w:t>1000</w:t>
            </w:r>
            <w:r>
              <w:rPr>
                <w:rFonts w:hint="eastAsia" w:ascii="仿宋" w:hAnsi="仿宋" w:eastAsia="仿宋" w:cs="仿宋"/>
                <w:color w:val="333333"/>
                <w:kern w:val="0"/>
                <w:sz w:val="24"/>
                <w:highlight w:val="none"/>
              </w:rPr>
              <w:t>份</w:t>
            </w:r>
            <w:r>
              <w:rPr>
                <w:rFonts w:hint="eastAsia" w:ascii="仿宋" w:hAnsi="仿宋" w:eastAsia="仿宋" w:cs="仿宋"/>
                <w:color w:val="333333"/>
                <w:kern w:val="0"/>
                <w:sz w:val="24"/>
              </w:rPr>
              <w:t>时，应当全部赎回。长沙农商银行保留调整最低</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rPr>
              <w:t>份额</w:t>
            </w:r>
            <w:r>
              <w:rPr>
                <w:rFonts w:hint="eastAsia" w:ascii="仿宋" w:hAnsi="仿宋" w:eastAsia="仿宋" w:cs="仿宋"/>
                <w:color w:val="333333"/>
                <w:kern w:val="0"/>
                <w:sz w:val="24"/>
                <w:lang w:val="en-US" w:eastAsia="zh-CN"/>
              </w:rPr>
              <w:t>的</w:t>
            </w:r>
            <w:r>
              <w:rPr>
                <w:rFonts w:hint="eastAsia" w:ascii="仿宋" w:hAnsi="仿宋" w:eastAsia="仿宋" w:cs="仿宋"/>
                <w:color w:val="333333"/>
                <w:kern w:val="0"/>
                <w:sz w:val="24"/>
              </w:rPr>
              <w:t>权利，如后续对该最低赎回份额进行调整，长沙农商银行将在规定时间内于官网进行公告，并承诺该调整不会损害投资者利益。</w:t>
            </w:r>
          </w:p>
        </w:tc>
      </w:tr>
      <w:tr w14:paraId="72EF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19DB6908">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213" w:type="dxa"/>
            <w:tcMar>
              <w:top w:w="45" w:type="dxa"/>
              <w:left w:w="45" w:type="dxa"/>
              <w:bottom w:w="45" w:type="dxa"/>
              <w:right w:w="45" w:type="dxa"/>
            </w:tcMar>
            <w:vAlign w:val="top"/>
          </w:tcPr>
          <w:p w14:paraId="08CAAC1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14:paraId="6BDD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40DC778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213" w:type="dxa"/>
            <w:tcMar>
              <w:top w:w="45" w:type="dxa"/>
              <w:left w:w="45" w:type="dxa"/>
              <w:bottom w:w="45" w:type="dxa"/>
              <w:right w:w="45" w:type="dxa"/>
            </w:tcMar>
            <w:vAlign w:val="top"/>
          </w:tcPr>
          <w:p w14:paraId="0146E55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14:paraId="0084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21E616D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213" w:type="dxa"/>
            <w:tcMar>
              <w:top w:w="45" w:type="dxa"/>
              <w:left w:w="45" w:type="dxa"/>
              <w:bottom w:w="45" w:type="dxa"/>
              <w:right w:w="45" w:type="dxa"/>
            </w:tcMar>
            <w:vAlign w:val="top"/>
          </w:tcPr>
          <w:p w14:paraId="4B0E917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14:paraId="6B14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11A0867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213" w:type="dxa"/>
            <w:tcMar>
              <w:top w:w="45" w:type="dxa"/>
              <w:left w:w="45" w:type="dxa"/>
              <w:bottom w:w="45" w:type="dxa"/>
              <w:right w:w="45" w:type="dxa"/>
            </w:tcMar>
            <w:vAlign w:val="top"/>
          </w:tcPr>
          <w:p w14:paraId="4EA15C1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5000万元，超过持有限额的认购、申购，长沙农商银行均不予确认。</w:t>
            </w:r>
          </w:p>
        </w:tc>
      </w:tr>
      <w:tr w14:paraId="4456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14:paraId="20A7608B">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b/>
                <w:bCs/>
                <w:kern w:val="0"/>
                <w:sz w:val="24"/>
              </w:rPr>
              <w:t>产品净值</w:t>
            </w:r>
          </w:p>
        </w:tc>
        <w:tc>
          <w:tcPr>
            <w:tcW w:w="7213" w:type="dxa"/>
            <w:tcMar>
              <w:top w:w="45" w:type="dxa"/>
              <w:left w:w="45" w:type="dxa"/>
              <w:bottom w:w="45" w:type="dxa"/>
              <w:right w:w="45" w:type="dxa"/>
            </w:tcMar>
            <w:vAlign w:val="top"/>
          </w:tcPr>
          <w:p w14:paraId="2C2513A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开放日产品单位净值于T+1日通过长沙农商银行网站公布，申购和赎回均按开放日的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14:paraId="7BC5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682" w:type="dxa"/>
            <w:tcMar>
              <w:top w:w="45" w:type="dxa"/>
              <w:left w:w="45" w:type="dxa"/>
              <w:bottom w:w="45" w:type="dxa"/>
              <w:right w:w="45" w:type="dxa"/>
            </w:tcMar>
            <w:vAlign w:val="top"/>
          </w:tcPr>
          <w:p w14:paraId="55F7EB4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213" w:type="dxa"/>
            <w:tcMar>
              <w:top w:w="45" w:type="dxa"/>
              <w:left w:w="45" w:type="dxa"/>
              <w:bottom w:w="45" w:type="dxa"/>
              <w:right w:w="45" w:type="dxa"/>
            </w:tcMar>
            <w:vAlign w:val="top"/>
          </w:tcPr>
          <w:p w14:paraId="4AD5D98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除开放日、申购和赎回期时间外，本产品投资者没有提前赎回权。</w:t>
            </w:r>
            <w:r>
              <w:rPr>
                <w:rFonts w:hint="eastAsia" w:ascii="仿宋" w:hAnsi="仿宋" w:eastAsia="仿宋" w:cs="仿宋"/>
                <w:b/>
                <w:bCs/>
                <w:color w:val="333333"/>
                <w:kern w:val="0"/>
                <w:sz w:val="24"/>
              </w:rPr>
              <w:t>（详见第三条第（六）款）</w:t>
            </w:r>
          </w:p>
        </w:tc>
      </w:tr>
      <w:tr w14:paraId="728C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682" w:type="dxa"/>
            <w:tcMar>
              <w:top w:w="45" w:type="dxa"/>
              <w:left w:w="45" w:type="dxa"/>
              <w:bottom w:w="45" w:type="dxa"/>
              <w:right w:w="45" w:type="dxa"/>
            </w:tcMar>
            <w:vAlign w:val="center"/>
          </w:tcPr>
          <w:p w14:paraId="7C1F7B9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213" w:type="dxa"/>
            <w:tcMar>
              <w:top w:w="45" w:type="dxa"/>
              <w:left w:w="45" w:type="dxa"/>
              <w:bottom w:w="45" w:type="dxa"/>
              <w:right w:w="45" w:type="dxa"/>
            </w:tcMar>
            <w:vAlign w:val="center"/>
          </w:tcPr>
          <w:p w14:paraId="0BEBC625">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14:paraId="54C7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1682" w:type="dxa"/>
            <w:tcMar>
              <w:top w:w="45" w:type="dxa"/>
              <w:left w:w="45" w:type="dxa"/>
              <w:bottom w:w="45" w:type="dxa"/>
              <w:right w:w="45" w:type="dxa"/>
            </w:tcMar>
            <w:vAlign w:val="top"/>
          </w:tcPr>
          <w:p w14:paraId="5E4CBFF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213" w:type="dxa"/>
            <w:tcMar>
              <w:top w:w="45" w:type="dxa"/>
              <w:left w:w="45" w:type="dxa"/>
              <w:bottom w:w="45" w:type="dxa"/>
              <w:right w:w="45" w:type="dxa"/>
            </w:tcMar>
            <w:vAlign w:val="top"/>
          </w:tcPr>
          <w:p w14:paraId="27788F9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综合财富指数(1年以下)，以产品投资现金类资产0-5%，金融债和信用债0-95%，杠杆率0%为例，综合已知的市场利率水平测算出本产品投资周期(2025年11月11日-2026年5月11日）业绩比较基准</w:t>
            </w:r>
            <w:r>
              <w:rPr>
                <w:rFonts w:hint="eastAsia" w:ascii="仿宋" w:hAnsi="仿宋" w:eastAsia="仿宋" w:cs="仿宋"/>
                <w:kern w:val="0"/>
                <w:sz w:val="24"/>
              </w:rPr>
              <w:t>为</w:t>
            </w:r>
            <w:r>
              <w:rPr>
                <w:rFonts w:hint="eastAsia" w:ascii="仿宋" w:hAnsi="仿宋" w:eastAsia="仿宋" w:cs="仿宋"/>
                <w:kern w:val="0"/>
                <w:sz w:val="24"/>
                <w:highlight w:val="none"/>
                <w:lang w:val="en-US" w:eastAsia="zh-CN"/>
              </w:rPr>
              <w:t>2.00</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rPr>
              <w:t>（年化）</w:t>
            </w:r>
            <w:r>
              <w:rPr>
                <w:rFonts w:hint="eastAsia" w:ascii="仿宋" w:hAnsi="仿宋" w:eastAsia="仿宋" w:cs="仿宋"/>
                <w:color w:val="333333"/>
                <w:kern w:val="0"/>
                <w:sz w:val="24"/>
                <w:lang w:eastAsia="zh-CN"/>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14:paraId="789E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82" w:type="dxa"/>
            <w:tcMar>
              <w:top w:w="45" w:type="dxa"/>
              <w:left w:w="45" w:type="dxa"/>
              <w:bottom w:w="45" w:type="dxa"/>
              <w:right w:w="45" w:type="dxa"/>
            </w:tcMar>
            <w:vAlign w:val="top"/>
          </w:tcPr>
          <w:p w14:paraId="64250A5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213" w:type="dxa"/>
            <w:tcMar>
              <w:top w:w="45" w:type="dxa"/>
              <w:left w:w="45" w:type="dxa"/>
              <w:bottom w:w="45" w:type="dxa"/>
              <w:right w:w="45" w:type="dxa"/>
            </w:tcMar>
            <w:vAlign w:val="top"/>
          </w:tcPr>
          <w:p w14:paraId="494BD2DB">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14:paraId="48B9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82" w:type="dxa"/>
            <w:tcMar>
              <w:top w:w="45" w:type="dxa"/>
              <w:left w:w="45" w:type="dxa"/>
              <w:bottom w:w="45" w:type="dxa"/>
              <w:right w:w="45" w:type="dxa"/>
            </w:tcMar>
            <w:vAlign w:val="top"/>
          </w:tcPr>
          <w:p w14:paraId="1A1764D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213" w:type="dxa"/>
            <w:tcMar>
              <w:top w:w="45" w:type="dxa"/>
              <w:left w:w="45" w:type="dxa"/>
              <w:bottom w:w="45" w:type="dxa"/>
              <w:right w:w="45" w:type="dxa"/>
            </w:tcMar>
            <w:vAlign w:val="top"/>
          </w:tcPr>
          <w:p w14:paraId="5191327B">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14:paraId="1689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82" w:type="dxa"/>
            <w:tcMar>
              <w:top w:w="45" w:type="dxa"/>
              <w:left w:w="45" w:type="dxa"/>
              <w:bottom w:w="45" w:type="dxa"/>
              <w:right w:w="45" w:type="dxa"/>
            </w:tcMar>
            <w:vAlign w:val="top"/>
          </w:tcPr>
          <w:p w14:paraId="16D74F7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213" w:type="dxa"/>
            <w:tcMar>
              <w:top w:w="45" w:type="dxa"/>
              <w:left w:w="45" w:type="dxa"/>
              <w:bottom w:w="45" w:type="dxa"/>
              <w:right w:w="45" w:type="dxa"/>
            </w:tcMar>
            <w:vAlign w:val="top"/>
          </w:tcPr>
          <w:p w14:paraId="0B4FAB15">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14:paraId="1969BA05">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14:paraId="16F8B12F">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14:paraId="360B951C">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14:paraId="6403F6C2">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14:paraId="735F7E6A">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kern w:val="0"/>
                <w:sz w:val="24"/>
                <w:lang w:val="en-US" w:eastAsia="zh-CN"/>
              </w:rPr>
              <w:t>扣除销售服务费、赎回费、固定管理费、托管费、估值费等税费</w:t>
            </w:r>
            <w:r>
              <w:rPr>
                <w:rFonts w:hint="eastAsia" w:ascii="仿宋" w:hAnsi="仿宋" w:eastAsia="仿宋" w:cs="仿宋"/>
                <w:kern w:val="0"/>
                <w:sz w:val="24"/>
              </w:rPr>
              <w:t>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14:paraId="4D80E6AE">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14:paraId="23F6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82" w:type="dxa"/>
            <w:tcMar>
              <w:top w:w="45" w:type="dxa"/>
              <w:left w:w="45" w:type="dxa"/>
              <w:bottom w:w="45" w:type="dxa"/>
              <w:right w:w="45" w:type="dxa"/>
            </w:tcMar>
            <w:vAlign w:val="top"/>
          </w:tcPr>
          <w:p w14:paraId="4B61CC1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213" w:type="dxa"/>
            <w:tcMar>
              <w:top w:w="45" w:type="dxa"/>
              <w:left w:w="45" w:type="dxa"/>
              <w:bottom w:w="45" w:type="dxa"/>
              <w:right w:w="45" w:type="dxa"/>
            </w:tcMar>
            <w:vAlign w:val="top"/>
          </w:tcPr>
          <w:p w14:paraId="13DB2DA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14:paraId="5D0F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82" w:type="dxa"/>
            <w:tcMar>
              <w:top w:w="45" w:type="dxa"/>
              <w:left w:w="45" w:type="dxa"/>
              <w:bottom w:w="45" w:type="dxa"/>
              <w:right w:w="45" w:type="dxa"/>
            </w:tcMar>
            <w:vAlign w:val="top"/>
          </w:tcPr>
          <w:p w14:paraId="3302EF2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213" w:type="dxa"/>
            <w:tcMar>
              <w:top w:w="45" w:type="dxa"/>
              <w:left w:w="45" w:type="dxa"/>
              <w:bottom w:w="45" w:type="dxa"/>
              <w:right w:w="45" w:type="dxa"/>
            </w:tcMar>
            <w:vAlign w:val="top"/>
          </w:tcPr>
          <w:p w14:paraId="650F25E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开放日及申购期和赎回期</w:t>
            </w:r>
            <w:r>
              <w:rPr>
                <w:rFonts w:hint="eastAsia" w:ascii="仿宋" w:hAnsi="仿宋" w:eastAsia="仿宋" w:cs="仿宋"/>
                <w:color w:val="333333"/>
                <w:kern w:val="0"/>
                <w:sz w:val="24"/>
              </w:rPr>
              <w:t>内，个人投资者可在手机银行</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含长沙农商APP</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14:paraId="4DF1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82" w:type="dxa"/>
            <w:tcMar>
              <w:top w:w="45" w:type="dxa"/>
              <w:left w:w="45" w:type="dxa"/>
              <w:bottom w:w="45" w:type="dxa"/>
              <w:right w:w="45" w:type="dxa"/>
            </w:tcMar>
            <w:vAlign w:val="top"/>
          </w:tcPr>
          <w:p w14:paraId="5F8BC4A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213" w:type="dxa"/>
            <w:tcMar>
              <w:top w:w="45" w:type="dxa"/>
              <w:left w:w="45" w:type="dxa"/>
              <w:bottom w:w="45" w:type="dxa"/>
              <w:right w:w="45" w:type="dxa"/>
            </w:tcMar>
            <w:vAlign w:val="top"/>
          </w:tcPr>
          <w:p w14:paraId="7A8595BB">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14:paraId="06D5A6C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14:paraId="66F19124">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14:paraId="78D92A6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14:paraId="54F3B54E">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期和</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14:paraId="03027D7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申购期和赎回期</w:t>
            </w:r>
            <w:r>
              <w:rPr>
                <w:rFonts w:hint="eastAsia" w:ascii="仿宋" w:hAnsi="仿宋" w:eastAsia="仿宋" w:cs="仿宋"/>
                <w:color w:val="333333"/>
                <w:kern w:val="0"/>
                <w:sz w:val="24"/>
              </w:rPr>
              <w:t>内，投资者可对已提交的申请进行撤销，须单笔全额撤销。</w:t>
            </w:r>
          </w:p>
        </w:tc>
      </w:tr>
    </w:tbl>
    <w:p w14:paraId="0B19431A">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三、产品认购、申购、赎回方式</w:t>
      </w:r>
    </w:p>
    <w:p w14:paraId="5BA39C4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（一）本金及理财收益</w:t>
      </w:r>
    </w:p>
    <w:p w14:paraId="21BCB1C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14:paraId="2968BF20">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14:paraId="7369DFE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14:paraId="5BCDBA2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14:paraId="39187A5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（二）认购</w:t>
      </w:r>
    </w:p>
    <w:p w14:paraId="5E35417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w:t>
      </w:r>
      <w:r>
        <w:rPr>
          <w:rFonts w:hint="eastAsia" w:ascii="仿宋" w:hAnsi="仿宋" w:eastAsia="仿宋" w:cs="仿宋"/>
          <w:kern w:val="0"/>
          <w:sz w:val="24"/>
          <w:lang w:eastAsia="zh-CN"/>
        </w:rPr>
        <w:t>2022年4月20日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2022年4月27日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r>
        <w:rPr>
          <w:rFonts w:hint="eastAsia" w:ascii="仿宋" w:hAnsi="仿宋" w:eastAsia="仿宋" w:cs="仿宋"/>
          <w:kern w:val="0"/>
          <w:sz w:val="24"/>
          <w:lang w:eastAsia="zh-CN"/>
        </w:rPr>
        <w:t>，触发提前结束认购的情形包括但不限于监管政策变化、产品募集提前达到发行上限金额</w:t>
      </w:r>
      <w:r>
        <w:rPr>
          <w:rFonts w:hint="eastAsia" w:ascii="仿宋" w:hAnsi="仿宋" w:eastAsia="仿宋" w:cs="仿宋"/>
          <w:kern w:val="0"/>
          <w:sz w:val="24"/>
        </w:rPr>
        <w:t>。</w:t>
      </w:r>
    </w:p>
    <w:p w14:paraId="0BE2294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14:paraId="3425682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（三）申购</w:t>
      </w:r>
    </w:p>
    <w:p w14:paraId="7858199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14:paraId="1B76F39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14:paraId="58502A4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14:paraId="67C3A57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14:paraId="0579D4A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14:paraId="5D73E81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11月10日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11月11日</w:t>
      </w:r>
      <w:r>
        <w:rPr>
          <w:rFonts w:hint="eastAsia" w:ascii="仿宋" w:hAnsi="仿宋" w:eastAsia="仿宋" w:cs="仿宋"/>
          <w:color w:val="333333"/>
          <w:kern w:val="0"/>
          <w:sz w:val="24"/>
        </w:rPr>
        <w:t>（工作日）进行申购确认，同时，银行于</w:t>
      </w:r>
      <w:r>
        <w:rPr>
          <w:rFonts w:hint="eastAsia" w:ascii="仿宋" w:hAnsi="仿宋" w:eastAsia="仿宋" w:cs="仿宋"/>
          <w:color w:val="333333"/>
          <w:kern w:val="0"/>
          <w:sz w:val="24"/>
          <w:lang w:val="en-US" w:eastAsia="zh-CN"/>
        </w:rPr>
        <w:t>11月11日</w:t>
      </w:r>
      <w:r>
        <w:rPr>
          <w:rFonts w:hint="eastAsia" w:ascii="仿宋" w:hAnsi="仿宋" w:eastAsia="仿宋" w:cs="仿宋"/>
          <w:color w:val="333333"/>
          <w:kern w:val="0"/>
          <w:sz w:val="24"/>
        </w:rPr>
        <w:t>公布的</w:t>
      </w:r>
      <w:r>
        <w:rPr>
          <w:rFonts w:hint="eastAsia" w:ascii="仿宋" w:hAnsi="仿宋" w:eastAsia="仿宋" w:cs="仿宋"/>
          <w:color w:val="333333"/>
          <w:kern w:val="0"/>
          <w:sz w:val="24"/>
          <w:lang w:val="en-US" w:eastAsia="zh-CN"/>
        </w:rPr>
        <w:t>11月10日</w:t>
      </w:r>
      <w:r>
        <w:rPr>
          <w:rFonts w:hint="eastAsia" w:ascii="仿宋" w:hAnsi="仿宋" w:eastAsia="仿宋" w:cs="仿宋"/>
          <w:color w:val="333333"/>
          <w:kern w:val="0"/>
          <w:sz w:val="24"/>
        </w:rPr>
        <w:t>产品净值为</w:t>
      </w:r>
      <w:r>
        <w:rPr>
          <w:rFonts w:hint="eastAsia" w:ascii="仿宋" w:hAnsi="仿宋" w:eastAsia="仿宋" w:cs="仿宋"/>
          <w:color w:val="333333"/>
          <w:kern w:val="0"/>
          <w:sz w:val="24"/>
          <w:lang w:val="en-US" w:eastAsia="zh-CN"/>
        </w:rPr>
        <w:t>1.02168</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val="en-US" w:eastAsia="zh-CN"/>
        </w:rPr>
        <w:t>1.02168</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48939.00</w:t>
      </w:r>
      <w:r>
        <w:rPr>
          <w:rFonts w:hint="eastAsia" w:ascii="仿宋" w:hAnsi="仿宋" w:eastAsia="仿宋" w:cs="仿宋"/>
          <w:color w:val="333333"/>
          <w:kern w:val="0"/>
          <w:sz w:val="24"/>
        </w:rPr>
        <w:t>份。</w:t>
      </w:r>
    </w:p>
    <w:p w14:paraId="4D11118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（四）赎回</w:t>
      </w:r>
    </w:p>
    <w:p w14:paraId="1E2DFD2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14:paraId="02534B4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14:paraId="110EA4E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14:paraId="3A0B9B1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14:paraId="652FBA6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14:paraId="5646314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14:paraId="0B86758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14:paraId="040E023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14:paraId="6EAAD5E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11月10日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实际投资周期为180天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11月11日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1.02152</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1.02152</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180</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4.37</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3.80%</w:t>
      </w:r>
      <w:r>
        <w:rPr>
          <w:rFonts w:hint="eastAsia" w:ascii="仿宋" w:hAnsi="仿宋" w:eastAsia="仿宋" w:cs="仿宋"/>
          <w:color w:val="333333"/>
          <w:kern w:val="0"/>
          <w:sz w:val="24"/>
        </w:rPr>
        <w:t>，</w:t>
      </w:r>
    </w:p>
    <w:p w14:paraId="5C257B0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则管理人收取浮动管理费为：50000×[</w:t>
      </w:r>
      <w:r>
        <w:rPr>
          <w:rFonts w:hint="eastAsia" w:ascii="仿宋" w:hAnsi="仿宋" w:eastAsia="仿宋" w:cs="仿宋"/>
          <w:color w:val="333333"/>
          <w:kern w:val="0"/>
          <w:sz w:val="24"/>
          <w:lang w:eastAsia="zh-CN"/>
        </w:rPr>
        <w:t>1.02152</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3.80%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180/</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112.41</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14:paraId="2FFF2AB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w:t>
      </w:r>
      <w:r>
        <w:rPr>
          <w:rFonts w:hint="eastAsia" w:ascii="仿宋" w:hAnsi="仿宋" w:eastAsia="仿宋" w:cs="仿宋"/>
          <w:color w:val="333333"/>
          <w:kern w:val="0"/>
          <w:sz w:val="24"/>
          <w:lang w:eastAsia="zh-CN"/>
        </w:rPr>
        <w:t>1.02152</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112.41</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50965.09</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3.91</w:t>
      </w:r>
      <w:r>
        <w:rPr>
          <w:rFonts w:hint="eastAsia" w:ascii="仿宋" w:hAnsi="仿宋" w:eastAsia="仿宋" w:cs="仿宋"/>
          <w:color w:val="333333"/>
          <w:kern w:val="0"/>
          <w:sz w:val="24"/>
        </w:rPr>
        <w:t>%</w:t>
      </w:r>
    </w:p>
    <w:p w14:paraId="2812AA2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14:paraId="1DCF235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11月10日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实际投资周期为180天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11月11日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1.01752</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val="en-US" w:eastAsia="zh-CN"/>
        </w:rPr>
        <w:t>1.01752</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180</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3.55</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1.01752=50876.00元。</w:t>
      </w:r>
    </w:p>
    <w:p w14:paraId="5C570F9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14:paraId="59BDA74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14:paraId="6E147F14">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14:paraId="657C185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14:paraId="16F4F88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14:paraId="357ED1F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（六）提前终止</w:t>
      </w:r>
    </w:p>
    <w:p w14:paraId="4305AF9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14:paraId="2D1FBA7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可</w:t>
      </w:r>
      <w:r>
        <w:rPr>
          <w:rFonts w:hint="eastAsia" w:ascii="仿宋" w:hAnsi="仿宋" w:eastAsia="仿宋" w:cs="仿宋"/>
          <w:b w:val="0"/>
          <w:bCs/>
          <w:kern w:val="0"/>
          <w:sz w:val="24"/>
        </w:rPr>
        <w:t>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w:t>
      </w:r>
      <w:r>
        <w:rPr>
          <w:rFonts w:hint="eastAsia" w:ascii="仿宋" w:hAnsi="仿宋" w:eastAsia="仿宋" w:cs="仿宋"/>
          <w:color w:val="333333"/>
          <w:kern w:val="0"/>
          <w:sz w:val="24"/>
          <w:lang w:eastAsia="zh-CN"/>
        </w:rPr>
        <w:t>账</w:t>
      </w:r>
      <w:r>
        <w:rPr>
          <w:rFonts w:hint="eastAsia" w:ascii="仿宋" w:hAnsi="仿宋" w:eastAsia="仿宋" w:cs="仿宋"/>
          <w:color w:val="333333"/>
          <w:kern w:val="0"/>
          <w:sz w:val="24"/>
        </w:rPr>
        <w:t>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14:paraId="1101360E">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四、投资方向范围及比例</w:t>
      </w:r>
    </w:p>
    <w:p w14:paraId="0D8A2C4B">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14:paraId="7D8D2BC4">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14:paraId="3E0856AC">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14:paraId="0FC30BAF">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14:paraId="6FCB431A">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14:paraId="70C6555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14:paraId="31E3780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14:paraId="76C3EFC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（二）估值对象</w:t>
      </w:r>
    </w:p>
    <w:p w14:paraId="4ACFBF8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14:paraId="64A4EA47">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估值方法</w:t>
      </w:r>
    </w:p>
    <w:p w14:paraId="5A32FCE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14:paraId="6BCBD65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14:paraId="12234F6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14:paraId="1AF44E0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14:paraId="10792F0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14:paraId="41A3B129">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14:paraId="0457FCF6">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14:paraId="327F7EAE">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14:paraId="41C5B67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14:paraId="72FB63B3">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14:paraId="73F7E46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14:paraId="0F4DA7A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14:paraId="7A8AC38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14:paraId="6430917B">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七、理财产品信息披露</w:t>
      </w:r>
    </w:p>
    <w:p w14:paraId="01D0D4EC">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w:t>
      </w:r>
      <w:r>
        <w:rPr>
          <w:rFonts w:hint="eastAsia" w:ascii="仿宋" w:hAnsi="仿宋" w:eastAsia="仿宋" w:cs="仿宋"/>
          <w:kern w:val="0"/>
          <w:sz w:val="24"/>
          <w:lang w:val="en-US" w:eastAsia="zh-CN"/>
        </w:rPr>
        <w:t>长沙农商银行网站（</w:t>
      </w:r>
      <w:r>
        <w:rPr>
          <w:rFonts w:hint="eastAsia" w:ascii="仿宋" w:hAnsi="仿宋" w:eastAsia="仿宋" w:cs="仿宋"/>
          <w:kern w:val="0"/>
          <w:sz w:val="24"/>
        </w:rPr>
        <w:t>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14:paraId="182EB301">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14:paraId="4B4C7A5A">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14:paraId="348CF565">
      <w:pPr>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14:paraId="4325D966">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14:paraId="62A086D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14:paraId="368840C6">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14:paraId="3EB83F14">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1、本理财产品说明书中示例均采用假设</w:t>
      </w:r>
      <w:r>
        <w:rPr>
          <w:rFonts w:hint="eastAsia" w:ascii="仿宋" w:hAnsi="仿宋" w:eastAsia="仿宋" w:cs="仿宋"/>
          <w:color w:val="333333"/>
          <w:kern w:val="0"/>
          <w:sz w:val="24"/>
        </w:rPr>
        <w:t xml:space="preserve">数据，并不代表投资者实际可获得的收益。 </w:t>
      </w:r>
    </w:p>
    <w:p w14:paraId="3B582D52">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14:paraId="0655FC06">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14:paraId="0F57E631"/>
    <w:p w14:paraId="19C0356C"/>
    <w:p w14:paraId="52D393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ED89"/>
    <w:multiLevelType w:val="singleLevel"/>
    <w:tmpl w:val="975CED89"/>
    <w:lvl w:ilvl="0" w:tentative="0">
      <w:start w:val="3"/>
      <w:numFmt w:val="chineseCounting"/>
      <w:suff w:val="nothing"/>
      <w:lvlText w:val="（%1）"/>
      <w:lvlJc w:val="left"/>
      <w:pPr>
        <w:ind w:left="350" w:firstLine="0"/>
      </w:pPr>
      <w:rPr>
        <w:rFonts w:hint="eastAsia"/>
      </w:rPr>
    </w:lvl>
  </w:abstractNum>
  <w:abstractNum w:abstractNumId="1">
    <w:nsid w:val="0F80BE95"/>
    <w:multiLevelType w:val="singleLevel"/>
    <w:tmpl w:val="0F80BE95"/>
    <w:lvl w:ilvl="0" w:tentative="0">
      <w:start w:val="5"/>
      <w:numFmt w:val="chineseCounting"/>
      <w:suff w:val="nothing"/>
      <w:lvlText w:val="（%1）"/>
      <w:lvlJc w:val="left"/>
      <w:rPr>
        <w:rFonts w:hint="eastAsia"/>
      </w:rPr>
    </w:lvl>
  </w:abstractNum>
  <w:abstractNum w:abstractNumId="2">
    <w:nsid w:val="2BB8923A"/>
    <w:multiLevelType w:val="singleLevel"/>
    <w:tmpl w:val="2BB8923A"/>
    <w:lvl w:ilvl="0" w:tentative="0">
      <w:start w:val="1"/>
      <w:numFmt w:val="decimal"/>
      <w:suff w:val="nothing"/>
      <w:lvlText w:val="%1、"/>
      <w:lvlJc w:val="left"/>
    </w:lvl>
  </w:abstractNum>
  <w:abstractNum w:abstractNumId="3">
    <w:nsid w:val="749E59DB"/>
    <w:multiLevelType w:val="singleLevel"/>
    <w:tmpl w:val="749E59D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76"/>
    <w:rsid w:val="000D3914"/>
    <w:rsid w:val="00424276"/>
    <w:rsid w:val="008C1FC7"/>
    <w:rsid w:val="00BE2066"/>
    <w:rsid w:val="00EA7B25"/>
    <w:rsid w:val="015B7B55"/>
    <w:rsid w:val="0292700F"/>
    <w:rsid w:val="0440153B"/>
    <w:rsid w:val="04F05D3E"/>
    <w:rsid w:val="09004CD5"/>
    <w:rsid w:val="0A96167B"/>
    <w:rsid w:val="0C4F479F"/>
    <w:rsid w:val="0CD52AD9"/>
    <w:rsid w:val="0D7D4A5C"/>
    <w:rsid w:val="0F057D56"/>
    <w:rsid w:val="104A6EE7"/>
    <w:rsid w:val="11037796"/>
    <w:rsid w:val="176F73DA"/>
    <w:rsid w:val="195464B6"/>
    <w:rsid w:val="1A750851"/>
    <w:rsid w:val="1B900686"/>
    <w:rsid w:val="1D681BC5"/>
    <w:rsid w:val="1E725242"/>
    <w:rsid w:val="218F0CC0"/>
    <w:rsid w:val="23867AB6"/>
    <w:rsid w:val="2B474FA2"/>
    <w:rsid w:val="2BAA4827"/>
    <w:rsid w:val="2D2C5140"/>
    <w:rsid w:val="30E63EA6"/>
    <w:rsid w:val="31314B17"/>
    <w:rsid w:val="33113131"/>
    <w:rsid w:val="36AE0F18"/>
    <w:rsid w:val="3B8555A0"/>
    <w:rsid w:val="3C4D6A32"/>
    <w:rsid w:val="3FA56505"/>
    <w:rsid w:val="49EE267F"/>
    <w:rsid w:val="4DE421FA"/>
    <w:rsid w:val="5CE61FE8"/>
    <w:rsid w:val="5E5D2C26"/>
    <w:rsid w:val="5F242B53"/>
    <w:rsid w:val="5F45454F"/>
    <w:rsid w:val="61E46281"/>
    <w:rsid w:val="65F11116"/>
    <w:rsid w:val="66925881"/>
    <w:rsid w:val="6AC67795"/>
    <w:rsid w:val="6B7C1256"/>
    <w:rsid w:val="75F46E8C"/>
    <w:rsid w:val="761044CE"/>
    <w:rsid w:val="76D53A6D"/>
    <w:rsid w:val="772F60EC"/>
    <w:rsid w:val="7C9663A9"/>
    <w:rsid w:val="7DBF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Words>
  <Characters>309</Characters>
  <Lines>2</Lines>
  <Paragraphs>1</Paragraphs>
  <TotalTime>2</TotalTime>
  <ScaleCrop>false</ScaleCrop>
  <LinksUpToDate>false</LinksUpToDate>
  <CharactersWithSpaces>362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2022-01-12T01:06:00Z</dcterms:created>
  <dc:creator>Administrator</dc:creator>
  <cp:lastModifiedBy>LENOVO</cp:lastModifiedBy>
  <dcterms:modified xsi:type="dcterms:W3CDTF">2025-12-16T07:03:55Z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D978B6C22EFA4055A9D52B3E5F32552F</vt:lpwstr>
  </property>
</Properties>
</file>