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92593"/>
    <w:p w14:paraId="4D04EB87">
      <w:pPr>
        <w:spacing w:line="580" w:lineRule="exact"/>
        <w:jc w:val="center"/>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长沙农村商业银行股份有限公司</w:t>
      </w:r>
      <w:r>
        <w:rPr>
          <w:rFonts w:hint="eastAsia" w:ascii="黑体" w:hAnsi="黑体" w:eastAsia="黑体" w:cs="黑体"/>
          <w:bCs/>
          <w:kern w:val="0"/>
          <w:sz w:val="32"/>
          <w:szCs w:val="32"/>
          <w:lang w:eastAsia="zh-CN"/>
        </w:rPr>
        <w:t>福祥金种子</w:t>
      </w:r>
    </w:p>
    <w:p w14:paraId="46DE40F3">
      <w:pPr>
        <w:spacing w:line="580" w:lineRule="exact"/>
        <w:jc w:val="center"/>
        <w:rPr>
          <w:rFonts w:hint="eastAsia" w:ascii="黑体" w:hAnsi="黑体" w:eastAsia="黑体" w:cs="黑体"/>
          <w:bCs/>
          <w:kern w:val="0"/>
          <w:sz w:val="32"/>
          <w:szCs w:val="32"/>
        </w:rPr>
      </w:pPr>
      <w:bookmarkStart w:id="0" w:name="OLE_LINK1"/>
      <w:r>
        <w:rPr>
          <w:rFonts w:hint="eastAsia" w:ascii="黑体" w:hAnsi="黑体" w:eastAsia="黑体" w:cs="黑体"/>
          <w:bCs/>
          <w:kern w:val="0"/>
          <w:sz w:val="32"/>
          <w:szCs w:val="32"/>
          <w:lang w:val="en-US" w:eastAsia="zh-CN"/>
        </w:rPr>
        <w:t>智盈年定开1号</w:t>
      </w:r>
      <w:r>
        <w:rPr>
          <w:rFonts w:hint="eastAsia" w:ascii="黑体" w:hAnsi="黑体" w:eastAsia="黑体" w:cs="黑体"/>
          <w:bCs/>
          <w:kern w:val="0"/>
          <w:sz w:val="32"/>
          <w:szCs w:val="32"/>
        </w:rPr>
        <w:t>理财产品说明书</w:t>
      </w:r>
      <w:bookmarkEnd w:id="0"/>
    </w:p>
    <w:p w14:paraId="73C4D8E8">
      <w:pPr>
        <w:spacing w:line="580" w:lineRule="exact"/>
        <w:textAlignment w:val="baseline"/>
        <w:rPr>
          <w:rFonts w:eastAsia="仿宋_GB2312"/>
          <w:kern w:val="0"/>
          <w:sz w:val="32"/>
          <w:szCs w:val="32"/>
        </w:rPr>
      </w:pPr>
    </w:p>
    <w:p w14:paraId="6D9A16C5">
      <w:pPr>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14:paraId="4ECDC16D">
      <w:pPr>
        <w:spacing w:line="240" w:lineRule="auto"/>
        <w:ind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14:paraId="7F6DD94D">
      <w:pPr>
        <w:spacing w:line="240" w:lineRule="auto"/>
        <w:rPr>
          <w:rFonts w:hint="eastAsia" w:ascii="仿宋" w:hAnsi="仿宋" w:eastAsia="仿宋" w:cs="仿宋"/>
          <w:kern w:val="0"/>
          <w:sz w:val="24"/>
        </w:rPr>
      </w:pPr>
      <w:r>
        <w:rPr>
          <w:rFonts w:hint="eastAsia" w:ascii="仿宋" w:hAnsi="仿宋" w:eastAsia="仿宋" w:cs="仿宋"/>
          <w:b/>
          <w:bCs/>
          <w:kern w:val="0"/>
          <w:sz w:val="24"/>
        </w:rPr>
        <w:t xml:space="preserve">    一、重要须知</w:t>
      </w:r>
    </w:p>
    <w:p w14:paraId="0AB2983B">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14:paraId="25BC4E26">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14:paraId="47370F83">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14:paraId="51A3025A">
      <w:pPr>
        <w:spacing w:line="240" w:lineRule="auto"/>
        <w:ind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14:paraId="12AD43E5">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 </w:t>
      </w:r>
      <w:r>
        <w:rPr>
          <w:rFonts w:hint="eastAsia" w:ascii="仿宋" w:hAnsi="仿宋" w:eastAsia="仿宋" w:cs="仿宋"/>
          <w:b/>
          <w:bCs/>
          <w:kern w:val="0"/>
          <w:sz w:val="24"/>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rPr>
        <w:t xml:space="preserve"> </w:t>
      </w:r>
    </w:p>
    <w:p w14:paraId="6E425CD8">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14:paraId="0D8B123C">
      <w:pPr>
        <w:spacing w:line="24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rPr>
        <w:t>7、本理财产品为非保本浮动收益型产品，您的本金可能会因市场变动而蒙受重大损失，您应充分认识投资风险，谨慎投资。</w:t>
      </w:r>
    </w:p>
    <w:p w14:paraId="69402AEE">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8、</w:t>
      </w:r>
      <w:bookmarkStart w:id="1" w:name="_Hlk56522822"/>
      <w:r>
        <w:rPr>
          <w:rFonts w:hint="eastAsia" w:ascii="仿宋" w:hAnsi="仿宋" w:eastAsia="仿宋" w:cs="仿宋"/>
          <w:kern w:val="0"/>
          <w:sz w:val="24"/>
        </w:rPr>
        <w:t>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bookmarkEnd w:id="1"/>
    </w:p>
    <w:p w14:paraId="004DCFD4">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14:paraId="3582FAC4">
      <w:pPr>
        <w:spacing w:line="240" w:lineRule="auto"/>
        <w:ind w:firstLine="482" w:firstLineChars="200"/>
        <w:rPr>
          <w:rFonts w:hint="eastAsia" w:ascii="仿宋" w:hAnsi="仿宋" w:eastAsia="仿宋" w:cs="仿宋"/>
          <w:kern w:val="0"/>
          <w:sz w:val="24"/>
        </w:rPr>
      </w:pPr>
      <w:r>
        <w:rPr>
          <w:rFonts w:hint="eastAsia" w:ascii="仿宋" w:hAnsi="仿宋" w:eastAsia="仿宋" w:cs="仿宋"/>
          <w:b/>
          <w:bCs/>
          <w:kern w:val="0"/>
          <w:sz w:val="24"/>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14:paraId="6F5A64B2">
      <w:pPr>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14:paraId="18784759">
      <w:pPr>
        <w:widowControl/>
        <w:spacing w:line="240" w:lineRule="auto"/>
        <w:ind w:firstLine="482" w:firstLineChars="200"/>
        <w:rPr>
          <w:rFonts w:hint="eastAsia" w:ascii="仿宋" w:hAnsi="仿宋" w:eastAsia="仿宋" w:cs="仿宋"/>
          <w:kern w:val="0"/>
          <w:sz w:val="24"/>
        </w:rPr>
      </w:pPr>
      <w:r>
        <w:rPr>
          <w:rFonts w:hint="eastAsia" w:ascii="仿宋" w:hAnsi="仿宋" w:eastAsia="仿宋" w:cs="仿宋"/>
          <w:b/>
          <w:bCs/>
          <w:kern w:val="0"/>
          <w:sz w:val="24"/>
        </w:rPr>
        <w:t>二、理财产品基本要素</w:t>
      </w:r>
    </w:p>
    <w:tbl>
      <w:tblPr>
        <w:tblStyle w:val="2"/>
        <w:tblW w:w="8895"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6958"/>
      </w:tblGrid>
      <w:tr w14:paraId="4263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937" w:type="dxa"/>
            <w:noWrap w:val="0"/>
            <w:tcMar>
              <w:top w:w="45" w:type="dxa"/>
              <w:left w:w="45" w:type="dxa"/>
              <w:bottom w:w="45" w:type="dxa"/>
              <w:right w:w="45" w:type="dxa"/>
            </w:tcMar>
            <w:vAlign w:val="top"/>
          </w:tcPr>
          <w:p w14:paraId="7CEE7694">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6958" w:type="dxa"/>
            <w:noWrap w:val="0"/>
            <w:tcMar>
              <w:top w:w="45" w:type="dxa"/>
              <w:left w:w="45" w:type="dxa"/>
              <w:bottom w:w="45" w:type="dxa"/>
              <w:right w:w="45" w:type="dxa"/>
            </w:tcMar>
            <w:vAlign w:val="center"/>
          </w:tcPr>
          <w:p w14:paraId="6CB45AD1">
            <w:pPr>
              <w:keepNext w:val="0"/>
              <w:keepLines w:val="0"/>
              <w:pageBreakBefore w:val="0"/>
              <w:widowControl/>
              <w:kinsoku/>
              <w:wordWrap/>
              <w:overflowPunct/>
              <w:topLinePunct w:val="0"/>
              <w:autoSpaceDE/>
              <w:autoSpaceDN/>
              <w:bidi w:val="0"/>
              <w:adjustRightInd/>
              <w:snapToGrid/>
              <w:spacing w:line="240" w:lineRule="auto"/>
              <w:rPr>
                <w:rFonts w:hint="eastAsia" w:ascii="仿宋" w:hAnsi="仿宋" w:eastAsia="仿宋" w:cs="仿宋"/>
                <w:kern w:val="0"/>
                <w:sz w:val="24"/>
              </w:rPr>
            </w:pPr>
            <w:r>
              <w:rPr>
                <w:rFonts w:hint="eastAsia" w:ascii="仿宋" w:hAnsi="仿宋" w:eastAsia="仿宋" w:cs="仿宋"/>
                <w:kern w:val="0"/>
                <w:sz w:val="24"/>
              </w:rPr>
              <w:t>长沙农商银行</w:t>
            </w:r>
            <w:r>
              <w:rPr>
                <w:rFonts w:hint="eastAsia" w:ascii="仿宋" w:hAnsi="仿宋" w:eastAsia="仿宋" w:cs="仿宋"/>
                <w:kern w:val="0"/>
                <w:sz w:val="24"/>
                <w:lang w:eastAsia="zh-CN"/>
              </w:rPr>
              <w:t>福祥金种子</w:t>
            </w:r>
            <w:r>
              <w:rPr>
                <w:rFonts w:hint="eastAsia" w:ascii="仿宋" w:hAnsi="仿宋" w:eastAsia="仿宋" w:cs="仿宋"/>
                <w:kern w:val="0"/>
                <w:sz w:val="24"/>
                <w:lang w:val="en-US" w:eastAsia="zh-CN"/>
              </w:rPr>
              <w:t>智盈年定开1号</w:t>
            </w:r>
            <w:r>
              <w:rPr>
                <w:rFonts w:hint="eastAsia" w:ascii="仿宋" w:hAnsi="仿宋" w:eastAsia="仿宋" w:cs="仿宋"/>
                <w:kern w:val="0"/>
                <w:sz w:val="24"/>
              </w:rPr>
              <w:t>理财产品</w:t>
            </w:r>
          </w:p>
        </w:tc>
      </w:tr>
      <w:tr w14:paraId="0BFD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937" w:type="dxa"/>
            <w:noWrap w:val="0"/>
            <w:tcMar>
              <w:top w:w="45" w:type="dxa"/>
              <w:left w:w="45" w:type="dxa"/>
              <w:bottom w:w="45" w:type="dxa"/>
              <w:right w:w="45" w:type="dxa"/>
            </w:tcMar>
            <w:vAlign w:val="top"/>
          </w:tcPr>
          <w:p w14:paraId="1910F9AB">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6958" w:type="dxa"/>
            <w:noWrap w:val="0"/>
            <w:tcMar>
              <w:top w:w="45" w:type="dxa"/>
              <w:left w:w="45" w:type="dxa"/>
              <w:bottom w:w="45" w:type="dxa"/>
              <w:right w:w="45" w:type="dxa"/>
            </w:tcMar>
            <w:vAlign w:val="top"/>
          </w:tcPr>
          <w:p w14:paraId="0EFD5932">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21009</w:t>
            </w:r>
          </w:p>
        </w:tc>
      </w:tr>
      <w:tr w14:paraId="50DA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937" w:type="dxa"/>
            <w:noWrap w:val="0"/>
            <w:tcMar>
              <w:top w:w="45" w:type="dxa"/>
              <w:left w:w="45" w:type="dxa"/>
              <w:bottom w:w="45" w:type="dxa"/>
              <w:right w:w="45" w:type="dxa"/>
            </w:tcMar>
            <w:vAlign w:val="top"/>
          </w:tcPr>
          <w:p w14:paraId="544F7604">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理财登记系统编码</w:t>
            </w:r>
          </w:p>
        </w:tc>
        <w:tc>
          <w:tcPr>
            <w:tcW w:w="6958" w:type="dxa"/>
            <w:noWrap w:val="0"/>
            <w:tcMar>
              <w:top w:w="45" w:type="dxa"/>
              <w:left w:w="45" w:type="dxa"/>
              <w:bottom w:w="45" w:type="dxa"/>
              <w:right w:w="45" w:type="dxa"/>
            </w:tcMar>
            <w:vAlign w:val="top"/>
          </w:tcPr>
          <w:p w14:paraId="2E78D9E3">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baseline"/>
              <w:rPr>
                <w:rFonts w:hint="eastAsia" w:ascii="仿宋" w:hAnsi="仿宋" w:eastAsia="仿宋" w:cs="仿宋"/>
                <w:kern w:val="0"/>
                <w:sz w:val="24"/>
              </w:rPr>
            </w:pPr>
            <w:r>
              <w:rPr>
                <w:rFonts w:hint="eastAsia" w:ascii="仿宋" w:hAnsi="仿宋" w:eastAsia="仿宋" w:cs="仿宋"/>
                <w:kern w:val="0"/>
                <w:sz w:val="24"/>
                <w:lang w:val="en-US" w:eastAsia="zh-CN"/>
              </w:rPr>
              <w:t>C1113221000006</w:t>
            </w:r>
            <w:r>
              <w:rPr>
                <w:rFonts w:hint="eastAsia" w:ascii="仿宋" w:hAnsi="仿宋" w:eastAsia="仿宋" w:cs="仿宋"/>
                <w:color w:val="333333"/>
                <w:kern w:val="0"/>
                <w:sz w:val="24"/>
              </w:rPr>
              <w:t>投资者可依据该编码在"中国理财网（www.chinawealth.com.cn）"查询产品信息</w:t>
            </w:r>
          </w:p>
        </w:tc>
      </w:tr>
      <w:tr w14:paraId="3984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937" w:type="dxa"/>
            <w:noWrap w:val="0"/>
            <w:tcMar>
              <w:top w:w="45" w:type="dxa"/>
              <w:left w:w="45" w:type="dxa"/>
              <w:bottom w:w="45" w:type="dxa"/>
              <w:right w:w="45" w:type="dxa"/>
            </w:tcMar>
            <w:vAlign w:val="top"/>
          </w:tcPr>
          <w:p w14:paraId="2B70364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6958" w:type="dxa"/>
            <w:noWrap w:val="0"/>
            <w:tcMar>
              <w:top w:w="45" w:type="dxa"/>
              <w:left w:w="45" w:type="dxa"/>
              <w:bottom w:w="45" w:type="dxa"/>
              <w:right w:w="45" w:type="dxa"/>
            </w:tcMar>
            <w:vAlign w:val="top"/>
          </w:tcPr>
          <w:p w14:paraId="36B23135">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14:paraId="5106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1937" w:type="dxa"/>
            <w:noWrap w:val="0"/>
            <w:tcMar>
              <w:top w:w="45" w:type="dxa"/>
              <w:left w:w="45" w:type="dxa"/>
              <w:bottom w:w="45" w:type="dxa"/>
              <w:right w:w="45" w:type="dxa"/>
            </w:tcMar>
            <w:vAlign w:val="top"/>
          </w:tcPr>
          <w:p w14:paraId="486D1E73">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6958" w:type="dxa"/>
            <w:noWrap w:val="0"/>
            <w:tcMar>
              <w:top w:w="45" w:type="dxa"/>
              <w:left w:w="45" w:type="dxa"/>
              <w:bottom w:w="45" w:type="dxa"/>
              <w:right w:w="45" w:type="dxa"/>
            </w:tcMar>
            <w:vAlign w:val="top"/>
          </w:tcPr>
          <w:p w14:paraId="6D529152">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固定收益类公募产品、定期开放式产品</w:t>
            </w:r>
          </w:p>
        </w:tc>
      </w:tr>
      <w:tr w14:paraId="0985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937" w:type="dxa"/>
            <w:noWrap w:val="0"/>
            <w:tcMar>
              <w:top w:w="45" w:type="dxa"/>
              <w:left w:w="45" w:type="dxa"/>
              <w:bottom w:w="45" w:type="dxa"/>
              <w:right w:w="45" w:type="dxa"/>
            </w:tcMar>
            <w:vAlign w:val="top"/>
          </w:tcPr>
          <w:p w14:paraId="13246DE8">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6958" w:type="dxa"/>
            <w:noWrap w:val="0"/>
            <w:tcMar>
              <w:top w:w="45" w:type="dxa"/>
              <w:left w:w="45" w:type="dxa"/>
              <w:bottom w:w="45" w:type="dxa"/>
              <w:right w:w="45" w:type="dxa"/>
            </w:tcMar>
            <w:vAlign w:val="top"/>
          </w:tcPr>
          <w:p w14:paraId="7B88BD47">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14:paraId="0D97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937" w:type="dxa"/>
            <w:noWrap w:val="0"/>
            <w:tcMar>
              <w:top w:w="45" w:type="dxa"/>
              <w:left w:w="45" w:type="dxa"/>
              <w:bottom w:w="45" w:type="dxa"/>
              <w:right w:w="45" w:type="dxa"/>
            </w:tcMar>
            <w:vAlign w:val="top"/>
          </w:tcPr>
          <w:p w14:paraId="1663AD8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6958" w:type="dxa"/>
            <w:noWrap w:val="0"/>
            <w:tcMar>
              <w:top w:w="45" w:type="dxa"/>
              <w:left w:w="45" w:type="dxa"/>
              <w:bottom w:w="45" w:type="dxa"/>
              <w:right w:w="45" w:type="dxa"/>
            </w:tcMar>
            <w:vAlign w:val="top"/>
          </w:tcPr>
          <w:p w14:paraId="3FAA82A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14:paraId="21E0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937" w:type="dxa"/>
            <w:noWrap w:val="0"/>
            <w:tcMar>
              <w:top w:w="45" w:type="dxa"/>
              <w:left w:w="45" w:type="dxa"/>
              <w:bottom w:w="45" w:type="dxa"/>
              <w:right w:w="45" w:type="dxa"/>
            </w:tcMar>
            <w:vAlign w:val="top"/>
          </w:tcPr>
          <w:p w14:paraId="07E1C7A7">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6958" w:type="dxa"/>
            <w:noWrap w:val="0"/>
            <w:tcMar>
              <w:top w:w="45" w:type="dxa"/>
              <w:left w:w="45" w:type="dxa"/>
              <w:bottom w:w="45" w:type="dxa"/>
              <w:right w:w="45" w:type="dxa"/>
            </w:tcMar>
            <w:vAlign w:val="top"/>
          </w:tcPr>
          <w:p w14:paraId="1D46E8D2">
            <w:pPr>
              <w:keepNext w:val="0"/>
              <w:keepLines w:val="0"/>
              <w:pageBreakBefore w:val="0"/>
              <w:widowControl/>
              <w:kinsoku/>
              <w:wordWrap/>
              <w:overflowPunct/>
              <w:topLinePunct w:val="0"/>
              <w:autoSpaceDE/>
              <w:autoSpaceDN/>
              <w:bidi w:val="0"/>
              <w:adjustRightInd/>
              <w:snapToGrid/>
              <w:spacing w:line="240" w:lineRule="auto"/>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14:paraId="0CA5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937" w:type="dxa"/>
            <w:noWrap w:val="0"/>
            <w:tcMar>
              <w:top w:w="45" w:type="dxa"/>
              <w:left w:w="45" w:type="dxa"/>
              <w:bottom w:w="45" w:type="dxa"/>
              <w:right w:w="45" w:type="dxa"/>
            </w:tcMar>
            <w:vAlign w:val="top"/>
          </w:tcPr>
          <w:p w14:paraId="1E1A6F53">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6958" w:type="dxa"/>
            <w:noWrap w:val="0"/>
            <w:tcMar>
              <w:top w:w="45" w:type="dxa"/>
              <w:left w:w="45" w:type="dxa"/>
              <w:bottom w:w="45" w:type="dxa"/>
              <w:right w:w="45" w:type="dxa"/>
            </w:tcMar>
            <w:vAlign w:val="top"/>
          </w:tcPr>
          <w:p w14:paraId="061DB1F5">
            <w:pPr>
              <w:keepNext w:val="0"/>
              <w:keepLines w:val="0"/>
              <w:pageBreakBefore w:val="0"/>
              <w:widowControl/>
              <w:numPr>
                <w:ilvl w:val="0"/>
                <w:numId w:val="1"/>
              </w:numPr>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14:paraId="684AC6BC">
            <w:pPr>
              <w:keepNext w:val="0"/>
              <w:keepLines w:val="0"/>
              <w:pageBreakBefore w:val="0"/>
              <w:widowControl/>
              <w:numPr>
                <w:ilvl w:val="0"/>
                <w:numId w:val="1"/>
              </w:numPr>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14:paraId="0AF3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1937" w:type="dxa"/>
            <w:noWrap w:val="0"/>
            <w:tcMar>
              <w:top w:w="45" w:type="dxa"/>
              <w:left w:w="45" w:type="dxa"/>
              <w:bottom w:w="45" w:type="dxa"/>
              <w:right w:w="45" w:type="dxa"/>
            </w:tcMar>
            <w:vAlign w:val="top"/>
          </w:tcPr>
          <w:p w14:paraId="0F9B4B7D">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6958" w:type="dxa"/>
            <w:noWrap w:val="0"/>
            <w:tcMar>
              <w:top w:w="45" w:type="dxa"/>
              <w:left w:w="45" w:type="dxa"/>
              <w:bottom w:w="45" w:type="dxa"/>
              <w:right w:w="45" w:type="dxa"/>
            </w:tcMar>
            <w:vAlign w:val="top"/>
          </w:tcPr>
          <w:p w14:paraId="7F1AC0B8">
            <w:pPr>
              <w:keepNext w:val="0"/>
              <w:keepLines w:val="0"/>
              <w:pageBreakBefore w:val="0"/>
              <w:widowControl/>
              <w:kinsoku/>
              <w:wordWrap/>
              <w:overflowPunct/>
              <w:topLinePunct w:val="0"/>
              <w:autoSpaceDE/>
              <w:autoSpaceDN/>
              <w:bidi w:val="0"/>
              <w:adjustRightInd/>
              <w:snapToGrid/>
              <w:spacing w:line="240" w:lineRule="auto"/>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14:paraId="0A9A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37" w:type="dxa"/>
            <w:noWrap w:val="0"/>
            <w:tcMar>
              <w:top w:w="45" w:type="dxa"/>
              <w:left w:w="45" w:type="dxa"/>
              <w:bottom w:w="45" w:type="dxa"/>
              <w:right w:w="45" w:type="dxa"/>
            </w:tcMar>
            <w:vAlign w:val="top"/>
          </w:tcPr>
          <w:p w14:paraId="0D6216B3">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6958" w:type="dxa"/>
            <w:noWrap w:val="0"/>
            <w:tcMar>
              <w:top w:w="45" w:type="dxa"/>
              <w:left w:w="45" w:type="dxa"/>
              <w:bottom w:w="45" w:type="dxa"/>
              <w:right w:w="45" w:type="dxa"/>
            </w:tcMar>
            <w:vAlign w:val="top"/>
          </w:tcPr>
          <w:p w14:paraId="28E84D3D">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10</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14:paraId="4A94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681F168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6958" w:type="dxa"/>
            <w:noWrap w:val="0"/>
            <w:tcMar>
              <w:top w:w="45" w:type="dxa"/>
              <w:left w:w="45" w:type="dxa"/>
              <w:bottom w:w="45" w:type="dxa"/>
              <w:right w:w="45" w:type="dxa"/>
            </w:tcMar>
            <w:vAlign w:val="top"/>
          </w:tcPr>
          <w:p w14:paraId="4995EB56">
            <w:pPr>
              <w:keepNext w:val="0"/>
              <w:keepLines w:val="0"/>
              <w:pageBreakBefore w:val="0"/>
              <w:widowControl/>
              <w:kinsoku/>
              <w:wordWrap/>
              <w:overflowPunct/>
              <w:topLinePunct w:val="0"/>
              <w:autoSpaceDE/>
              <w:autoSpaceDN/>
              <w:bidi w:val="0"/>
              <w:adjustRightInd/>
              <w:snapToGrid/>
              <w:spacing w:line="240" w:lineRule="auto"/>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14:paraId="1C43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0A7B1A0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6958" w:type="dxa"/>
            <w:noWrap w:val="0"/>
            <w:tcMar>
              <w:top w:w="45" w:type="dxa"/>
              <w:left w:w="45" w:type="dxa"/>
              <w:bottom w:w="45" w:type="dxa"/>
              <w:right w:w="45" w:type="dxa"/>
            </w:tcMar>
            <w:vAlign w:val="top"/>
          </w:tcPr>
          <w:p w14:paraId="4EFB5D7F">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r>
              <w:rPr>
                <w:rFonts w:hint="eastAsia" w:ascii="仿宋" w:hAnsi="仿宋" w:eastAsia="仿宋" w:cs="仿宋"/>
                <w:kern w:val="0"/>
                <w:sz w:val="24"/>
                <w:lang w:val="en-US" w:eastAsia="zh-CN"/>
              </w:rPr>
              <w:t>6</w:t>
            </w:r>
            <w:r>
              <w:rPr>
                <w:rFonts w:hint="eastAsia" w:ascii="仿宋" w:hAnsi="仿宋" w:eastAsia="仿宋" w:cs="仿宋"/>
                <w:kern w:val="0"/>
                <w:sz w:val="24"/>
              </w:rPr>
              <w:t>日</w:t>
            </w:r>
            <w:r>
              <w:rPr>
                <w:rFonts w:hint="eastAsia" w:ascii="仿宋" w:hAnsi="仿宋" w:eastAsia="仿宋" w:cs="仿宋"/>
                <w:kern w:val="0"/>
                <w:sz w:val="24"/>
                <w:lang w:val="en-US" w:eastAsia="zh-CN"/>
              </w:rPr>
              <w:t>8</w:t>
            </w:r>
            <w:r>
              <w:rPr>
                <w:rFonts w:hint="eastAsia" w:ascii="仿宋" w:hAnsi="仿宋" w:eastAsia="仿宋" w:cs="仿宋"/>
                <w:kern w:val="0"/>
                <w:sz w:val="24"/>
              </w:rPr>
              <w:t>:00至202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r>
              <w:rPr>
                <w:rFonts w:hint="eastAsia" w:ascii="仿宋" w:hAnsi="仿宋" w:eastAsia="仿宋" w:cs="仿宋"/>
                <w:kern w:val="0"/>
                <w:sz w:val="24"/>
                <w:lang w:val="en-US" w:eastAsia="zh-CN"/>
              </w:rPr>
              <w:t>17</w:t>
            </w:r>
            <w:r>
              <w:rPr>
                <w:rFonts w:hint="eastAsia" w:ascii="仿宋" w:hAnsi="仿宋" w:eastAsia="仿宋" w:cs="仿宋"/>
                <w:kern w:val="0"/>
                <w:sz w:val="24"/>
              </w:rPr>
              <w:t>日17: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14:paraId="4A84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937" w:type="dxa"/>
            <w:noWrap w:val="0"/>
            <w:tcMar>
              <w:top w:w="45" w:type="dxa"/>
              <w:left w:w="45" w:type="dxa"/>
              <w:bottom w:w="45" w:type="dxa"/>
              <w:right w:w="45" w:type="dxa"/>
            </w:tcMar>
            <w:vAlign w:val="top"/>
          </w:tcPr>
          <w:p w14:paraId="37A47BE1">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6958" w:type="dxa"/>
            <w:noWrap w:val="0"/>
            <w:tcMar>
              <w:top w:w="45" w:type="dxa"/>
              <w:left w:w="45" w:type="dxa"/>
              <w:bottom w:w="45" w:type="dxa"/>
              <w:right w:w="45" w:type="dxa"/>
            </w:tcMar>
            <w:vAlign w:val="top"/>
          </w:tcPr>
          <w:p w14:paraId="40567D71">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r>
              <w:rPr>
                <w:rFonts w:hint="eastAsia" w:ascii="仿宋" w:hAnsi="仿宋" w:eastAsia="仿宋" w:cs="仿宋"/>
                <w:kern w:val="0"/>
                <w:sz w:val="24"/>
                <w:lang w:val="en-US" w:eastAsia="zh-CN"/>
              </w:rPr>
              <w:t>18</w:t>
            </w:r>
            <w:r>
              <w:rPr>
                <w:rFonts w:hint="eastAsia" w:ascii="仿宋" w:hAnsi="仿宋" w:eastAsia="仿宋" w:cs="仿宋"/>
                <w:kern w:val="0"/>
                <w:sz w:val="24"/>
              </w:rPr>
              <w:t>日</w:t>
            </w:r>
          </w:p>
        </w:tc>
      </w:tr>
      <w:tr w14:paraId="4062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1937" w:type="dxa"/>
            <w:noWrap w:val="0"/>
            <w:tcMar>
              <w:top w:w="45" w:type="dxa"/>
              <w:left w:w="45" w:type="dxa"/>
              <w:bottom w:w="45" w:type="dxa"/>
              <w:right w:w="45" w:type="dxa"/>
            </w:tcMar>
            <w:vAlign w:val="top"/>
          </w:tcPr>
          <w:p w14:paraId="31359508">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6958" w:type="dxa"/>
            <w:noWrap w:val="0"/>
            <w:tcMar>
              <w:top w:w="45" w:type="dxa"/>
              <w:left w:w="45" w:type="dxa"/>
              <w:bottom w:w="45" w:type="dxa"/>
              <w:right w:w="45" w:type="dxa"/>
            </w:tcMar>
            <w:vAlign w:val="top"/>
          </w:tcPr>
          <w:p w14:paraId="25F448DF">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14:paraId="4FC3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0AD8819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6958" w:type="dxa"/>
            <w:noWrap w:val="0"/>
            <w:tcMar>
              <w:top w:w="45" w:type="dxa"/>
              <w:left w:w="45" w:type="dxa"/>
              <w:bottom w:w="45" w:type="dxa"/>
              <w:right w:w="45" w:type="dxa"/>
            </w:tcMar>
            <w:vAlign w:val="top"/>
          </w:tcPr>
          <w:p w14:paraId="1BC66CB3">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12个月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14:paraId="6188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77DD28BE">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6958" w:type="dxa"/>
            <w:noWrap w:val="0"/>
            <w:tcMar>
              <w:top w:w="45" w:type="dxa"/>
              <w:left w:w="45" w:type="dxa"/>
              <w:bottom w:w="45" w:type="dxa"/>
              <w:right w:w="45" w:type="dxa"/>
            </w:tcMar>
            <w:vAlign w:val="top"/>
          </w:tcPr>
          <w:p w14:paraId="463E9895">
            <w:pPr>
              <w:keepNext w:val="0"/>
              <w:keepLines w:val="0"/>
              <w:pageBreakBefore w:val="0"/>
              <w:widowControl/>
              <w:kinsoku/>
              <w:wordWrap/>
              <w:overflowPunct/>
              <w:topLinePunct w:val="0"/>
              <w:autoSpaceDE/>
              <w:autoSpaceDN/>
              <w:bidi w:val="0"/>
              <w:adjustRightInd/>
              <w:snapToGrid/>
              <w:spacing w:line="240" w:lineRule="auto"/>
              <w:jc w:val="left"/>
              <w:rPr>
                <w:rFonts w:ascii="仿宋" w:hAnsi="仿宋" w:eastAsia="仿宋" w:cs="仿宋"/>
                <w:kern w:val="0"/>
                <w:sz w:val="24"/>
                <w:highlight w:val="none"/>
              </w:rPr>
            </w:pPr>
            <w:r>
              <w:rPr>
                <w:rFonts w:hint="eastAsia" w:ascii="仿宋" w:hAnsi="仿宋" w:eastAsia="仿宋" w:cs="仿宋"/>
                <w:kern w:val="0"/>
                <w:sz w:val="24"/>
                <w:highlight w:val="none"/>
              </w:rPr>
              <w:t>本理财产品开放日为产品成立后</w:t>
            </w:r>
            <w:r>
              <w:rPr>
                <w:rFonts w:hint="eastAsia" w:ascii="仿宋" w:hAnsi="仿宋" w:eastAsia="仿宋" w:cs="仿宋"/>
                <w:kern w:val="0"/>
                <w:sz w:val="24"/>
                <w:highlight w:val="none"/>
                <w:u w:val="single"/>
                <w:lang w:val="en-US" w:eastAsia="zh-CN"/>
              </w:rPr>
              <w:t>每年8月18日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14:paraId="11EE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3BA03108">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6958" w:type="dxa"/>
            <w:noWrap w:val="0"/>
            <w:tcMar>
              <w:top w:w="45" w:type="dxa"/>
              <w:left w:w="45" w:type="dxa"/>
              <w:bottom w:w="45" w:type="dxa"/>
              <w:right w:w="45" w:type="dxa"/>
            </w:tcMar>
            <w:vAlign w:val="top"/>
          </w:tcPr>
          <w:p w14:paraId="05F9E228">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14:paraId="2062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7A21C3CC">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申购</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6958" w:type="dxa"/>
            <w:noWrap w:val="0"/>
            <w:tcMar>
              <w:top w:w="45" w:type="dxa"/>
              <w:left w:w="45" w:type="dxa"/>
              <w:bottom w:w="45" w:type="dxa"/>
              <w:right w:w="45" w:type="dxa"/>
            </w:tcMar>
            <w:vAlign w:val="top"/>
          </w:tcPr>
          <w:p w14:paraId="51129D9C">
            <w:pPr>
              <w:keepNext w:val="0"/>
              <w:keepLines w:val="0"/>
              <w:pageBreakBefore w:val="0"/>
              <w:widowControl/>
              <w:kinsoku/>
              <w:wordWrap/>
              <w:overflowPunct/>
              <w:topLinePunct w:val="0"/>
              <w:autoSpaceDE/>
              <w:autoSpaceDN/>
              <w:bidi w:val="0"/>
              <w:adjustRightInd/>
              <w:snapToGrid/>
              <w:spacing w:line="240" w:lineRule="auto"/>
              <w:jc w:val="left"/>
              <w:rPr>
                <w:rFonts w:ascii="仿宋" w:hAnsi="仿宋" w:eastAsia="仿宋" w:cs="仿宋"/>
                <w:color w:val="333333"/>
                <w:kern w:val="0"/>
                <w:sz w:val="24"/>
                <w:highlight w:val="none"/>
              </w:rPr>
            </w:pPr>
            <w:r>
              <w:rPr>
                <w:rFonts w:hint="eastAsia" w:ascii="仿宋" w:hAnsi="仿宋" w:eastAsia="仿宋" w:cs="仿宋"/>
                <w:color w:val="333333"/>
                <w:kern w:val="0"/>
                <w:sz w:val="24"/>
                <w:highlight w:val="none"/>
              </w:rPr>
              <w:t>开放日前30天8:00至产品开放前</w:t>
            </w:r>
            <w:r>
              <w:rPr>
                <w:rFonts w:hint="eastAsia" w:ascii="仿宋" w:hAnsi="仿宋" w:eastAsia="仿宋" w:cs="仿宋"/>
                <w:color w:val="333333"/>
                <w:kern w:val="0"/>
                <w:sz w:val="24"/>
                <w:highlight w:val="none"/>
                <w:lang w:val="en-US" w:eastAsia="zh-CN"/>
              </w:rPr>
              <w:t>为申购及赎回期</w:t>
            </w:r>
            <w:r>
              <w:rPr>
                <w:rFonts w:hint="eastAsia" w:ascii="仿宋" w:hAnsi="仿宋" w:eastAsia="仿宋" w:cs="仿宋"/>
                <w:color w:val="333333"/>
                <w:kern w:val="0"/>
                <w:sz w:val="24"/>
                <w:highlight w:val="none"/>
              </w:rPr>
              <w:t>，可接受申购、赎回申请</w:t>
            </w:r>
            <w:r>
              <w:rPr>
                <w:rFonts w:hint="eastAsia" w:ascii="仿宋" w:hAnsi="仿宋" w:eastAsia="仿宋" w:cs="仿宋"/>
                <w:color w:val="333333"/>
                <w:kern w:val="0"/>
                <w:sz w:val="24"/>
                <w:highlight w:val="none"/>
                <w:lang w:val="en-US" w:eastAsia="zh-CN"/>
              </w:rPr>
              <w:t>及撤销</w:t>
            </w:r>
            <w:r>
              <w:rPr>
                <w:rFonts w:hint="eastAsia" w:ascii="仿宋" w:hAnsi="仿宋" w:eastAsia="仿宋" w:cs="仿宋"/>
                <w:color w:val="333333"/>
                <w:kern w:val="0"/>
                <w:sz w:val="24"/>
                <w:highlight w:val="none"/>
                <w:lang w:eastAsia="zh-CN"/>
              </w:rPr>
              <w:t>，</w:t>
            </w:r>
            <w:r>
              <w:rPr>
                <w:rFonts w:hint="eastAsia" w:ascii="仿宋" w:hAnsi="仿宋" w:eastAsia="仿宋" w:cs="仿宋"/>
                <w:color w:val="333333"/>
                <w:kern w:val="0"/>
                <w:sz w:val="24"/>
                <w:highlight w:val="none"/>
                <w:lang w:val="en-US" w:eastAsia="zh-CN"/>
              </w:rPr>
              <w:t>申购及赎回申请</w:t>
            </w:r>
            <w:r>
              <w:rPr>
                <w:rFonts w:hint="eastAsia" w:ascii="仿宋" w:hAnsi="仿宋" w:eastAsia="仿宋" w:cs="仿宋"/>
                <w:color w:val="333333"/>
                <w:kern w:val="0"/>
                <w:sz w:val="24"/>
                <w:highlight w:val="none"/>
              </w:rPr>
              <w:t>视同在开放日开放时间内的申购</w:t>
            </w:r>
            <w:r>
              <w:rPr>
                <w:rFonts w:hint="eastAsia" w:ascii="仿宋" w:hAnsi="仿宋" w:eastAsia="仿宋" w:cs="仿宋"/>
                <w:color w:val="333333"/>
                <w:kern w:val="0"/>
                <w:sz w:val="24"/>
                <w:highlight w:val="none"/>
                <w:lang w:val="en-US" w:eastAsia="zh-CN"/>
              </w:rPr>
              <w:t>及</w:t>
            </w:r>
            <w:r>
              <w:rPr>
                <w:rFonts w:hint="eastAsia" w:ascii="仿宋" w:hAnsi="仿宋" w:eastAsia="仿宋" w:cs="仿宋"/>
                <w:color w:val="333333"/>
                <w:kern w:val="0"/>
                <w:sz w:val="24"/>
                <w:highlight w:val="none"/>
              </w:rPr>
              <w:t>赎回申请。</w:t>
            </w:r>
          </w:p>
        </w:tc>
      </w:tr>
      <w:tr w14:paraId="4744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3838F954">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6958" w:type="dxa"/>
            <w:noWrap w:val="0"/>
            <w:tcMar>
              <w:top w:w="45" w:type="dxa"/>
              <w:left w:w="45" w:type="dxa"/>
              <w:bottom w:w="45" w:type="dxa"/>
              <w:right w:w="45" w:type="dxa"/>
            </w:tcMar>
            <w:vAlign w:val="top"/>
          </w:tcPr>
          <w:p w14:paraId="1C70DC8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（T日）开放时间内进行申购</w:t>
            </w:r>
            <w:r>
              <w:rPr>
                <w:rFonts w:hint="eastAsia" w:ascii="仿宋" w:hAnsi="仿宋" w:eastAsia="仿宋" w:cs="仿宋"/>
                <w:kern w:val="0"/>
                <w:sz w:val="24"/>
                <w:lang w:val="en-US" w:eastAsia="zh-CN"/>
              </w:rPr>
              <w:t>申请</w:t>
            </w:r>
            <w:r>
              <w:rPr>
                <w:rFonts w:hint="eastAsia" w:ascii="仿宋" w:hAnsi="仿宋" w:eastAsia="仿宋" w:cs="仿宋"/>
                <w:kern w:val="0"/>
                <w:sz w:val="24"/>
              </w:rPr>
              <w:t>，</w:t>
            </w:r>
            <w:r>
              <w:rPr>
                <w:rFonts w:hint="eastAsia" w:ascii="仿宋" w:hAnsi="仿宋" w:eastAsia="仿宋" w:cs="仿宋"/>
                <w:kern w:val="0"/>
                <w:sz w:val="24"/>
                <w:lang w:val="en-US" w:eastAsia="zh-CN"/>
              </w:rPr>
              <w:t>下</w:t>
            </w:r>
            <w:r>
              <w:rPr>
                <w:rFonts w:hint="eastAsia" w:ascii="仿宋" w:hAnsi="仿宋" w:eastAsia="仿宋" w:cs="仿宋"/>
                <w:kern w:val="0"/>
                <w:sz w:val="24"/>
              </w:rPr>
              <w:t>一个工作日（T+1日）进行申购确认。申购确认日即为理财收益计算起始日。</w:t>
            </w:r>
          </w:p>
        </w:tc>
      </w:tr>
      <w:tr w14:paraId="1AB8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529EBBE5">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6958" w:type="dxa"/>
            <w:noWrap w:val="0"/>
            <w:tcMar>
              <w:top w:w="45" w:type="dxa"/>
              <w:left w:w="45" w:type="dxa"/>
              <w:bottom w:w="45" w:type="dxa"/>
              <w:right w:w="45" w:type="dxa"/>
            </w:tcMar>
            <w:vAlign w:val="top"/>
          </w:tcPr>
          <w:p w14:paraId="0EDB28E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14:paraId="57E5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25FF14A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申购</w:t>
            </w:r>
            <w:r>
              <w:rPr>
                <w:rFonts w:hint="eastAsia" w:ascii="仿宋" w:hAnsi="仿宋" w:eastAsia="仿宋" w:cs="仿宋"/>
                <w:b/>
                <w:bCs/>
                <w:color w:val="333333"/>
                <w:kern w:val="0"/>
                <w:sz w:val="24"/>
                <w:lang w:val="en-US" w:eastAsia="zh-CN"/>
              </w:rPr>
              <w:t>金额规定</w:t>
            </w:r>
          </w:p>
        </w:tc>
        <w:tc>
          <w:tcPr>
            <w:tcW w:w="6958" w:type="dxa"/>
            <w:noWrap w:val="0"/>
            <w:tcMar>
              <w:top w:w="45" w:type="dxa"/>
              <w:left w:w="45" w:type="dxa"/>
              <w:bottom w:w="45" w:type="dxa"/>
              <w:right w:w="45" w:type="dxa"/>
            </w:tcMar>
            <w:vAlign w:val="top"/>
          </w:tcPr>
          <w:p w14:paraId="75EE14F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14:paraId="6ACB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51A89BD7">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6958" w:type="dxa"/>
            <w:noWrap w:val="0"/>
            <w:tcMar>
              <w:top w:w="45" w:type="dxa"/>
              <w:left w:w="45" w:type="dxa"/>
              <w:bottom w:w="45" w:type="dxa"/>
              <w:right w:w="45" w:type="dxa"/>
            </w:tcMar>
            <w:vAlign w:val="top"/>
          </w:tcPr>
          <w:p w14:paraId="69257BBB">
            <w:pPr>
              <w:keepNext w:val="0"/>
              <w:keepLines w:val="0"/>
              <w:pageBreakBefore w:val="0"/>
              <w:widowControl/>
              <w:kinsoku/>
              <w:wordWrap/>
              <w:overflowPunct/>
              <w:topLinePunct w:val="0"/>
              <w:autoSpaceDE/>
              <w:autoSpaceDN/>
              <w:bidi w:val="0"/>
              <w:adjustRightInd/>
              <w:snapToGrid/>
              <w:spacing w:line="240" w:lineRule="auto"/>
              <w:jc w:val="left"/>
              <w:rPr>
                <w:rFonts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（T日）开放时间内进行赎回</w:t>
            </w:r>
            <w:r>
              <w:rPr>
                <w:rFonts w:hint="eastAsia" w:ascii="仿宋" w:hAnsi="仿宋" w:eastAsia="仿宋" w:cs="仿宋"/>
                <w:kern w:val="0"/>
                <w:sz w:val="24"/>
                <w:lang w:val="en-US" w:eastAsia="zh-CN"/>
              </w:rPr>
              <w:t>申请</w:t>
            </w:r>
            <w:r>
              <w:rPr>
                <w:rFonts w:hint="eastAsia" w:ascii="仿宋" w:hAnsi="仿宋" w:eastAsia="仿宋" w:cs="仿宋"/>
                <w:kern w:val="0"/>
                <w:sz w:val="24"/>
              </w:rPr>
              <w:t>，</w:t>
            </w:r>
            <w:r>
              <w:rPr>
                <w:rFonts w:hint="eastAsia" w:ascii="仿宋" w:hAnsi="仿宋" w:eastAsia="仿宋" w:cs="仿宋"/>
                <w:kern w:val="0"/>
                <w:sz w:val="24"/>
                <w:lang w:val="en-US" w:eastAsia="zh-CN"/>
              </w:rPr>
              <w:t>下</w:t>
            </w:r>
            <w:r>
              <w:rPr>
                <w:rFonts w:hint="eastAsia" w:ascii="仿宋" w:hAnsi="仿宋" w:eastAsia="仿宋" w:cs="仿宋"/>
                <w:kern w:val="0"/>
                <w:sz w:val="24"/>
              </w:rPr>
              <w:t>一个工作日（T+1日）进行赎回确认，赎回资金于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14:paraId="7F16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6F8A314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6958" w:type="dxa"/>
            <w:noWrap w:val="0"/>
            <w:tcMar>
              <w:top w:w="45" w:type="dxa"/>
              <w:left w:w="45" w:type="dxa"/>
              <w:bottom w:w="45" w:type="dxa"/>
              <w:right w:w="45" w:type="dxa"/>
            </w:tcMar>
            <w:vAlign w:val="top"/>
          </w:tcPr>
          <w:p w14:paraId="0562F5F2">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14:paraId="4E82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44E080C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赎回份额</w:t>
            </w:r>
            <w:r>
              <w:rPr>
                <w:rFonts w:hint="eastAsia" w:ascii="仿宋" w:hAnsi="仿宋" w:eastAsia="仿宋" w:cs="仿宋"/>
                <w:b/>
                <w:bCs/>
                <w:color w:val="333333"/>
                <w:kern w:val="0"/>
                <w:sz w:val="24"/>
                <w:lang w:val="en-US" w:eastAsia="zh-CN"/>
              </w:rPr>
              <w:t>规定</w:t>
            </w:r>
          </w:p>
        </w:tc>
        <w:tc>
          <w:tcPr>
            <w:tcW w:w="6958" w:type="dxa"/>
            <w:noWrap w:val="0"/>
            <w:tcMar>
              <w:top w:w="45" w:type="dxa"/>
              <w:left w:w="45" w:type="dxa"/>
              <w:bottom w:w="45" w:type="dxa"/>
              <w:right w:w="45" w:type="dxa"/>
            </w:tcMar>
            <w:vAlign w:val="top"/>
          </w:tcPr>
          <w:p w14:paraId="6D047AC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w:t>
            </w:r>
            <w:r>
              <w:rPr>
                <w:rFonts w:hint="eastAsia" w:ascii="仿宋" w:hAnsi="仿宋" w:eastAsia="仿宋" w:cs="仿宋"/>
                <w:color w:val="333333"/>
                <w:kern w:val="0"/>
                <w:sz w:val="24"/>
              </w:rPr>
              <w:t>如</w:t>
            </w:r>
            <w:r>
              <w:rPr>
                <w:rFonts w:hint="eastAsia" w:ascii="仿宋" w:hAnsi="仿宋" w:eastAsia="仿宋" w:cs="仿宋"/>
                <w:color w:val="333333"/>
                <w:kern w:val="0"/>
                <w:sz w:val="24"/>
                <w:lang w:val="en-US" w:eastAsia="zh-CN"/>
              </w:rPr>
              <w:t>投资者</w:t>
            </w:r>
            <w:r>
              <w:rPr>
                <w:rFonts w:hint="eastAsia" w:ascii="仿宋" w:hAnsi="仿宋" w:eastAsia="仿宋" w:cs="仿宋"/>
                <w:color w:val="333333"/>
                <w:kern w:val="0"/>
                <w:sz w:val="24"/>
              </w:rPr>
              <w:t>申请部分赎回，</w:t>
            </w:r>
            <w:r>
              <w:rPr>
                <w:rFonts w:hint="eastAsia" w:ascii="仿宋" w:hAnsi="仿宋" w:eastAsia="仿宋" w:cs="仿宋"/>
                <w:color w:val="333333"/>
                <w:kern w:val="0"/>
                <w:sz w:val="24"/>
                <w:lang w:val="en-US" w:eastAsia="zh-CN"/>
              </w:rPr>
              <w:t>留存的产品</w:t>
            </w:r>
            <w:r>
              <w:rPr>
                <w:rFonts w:hint="eastAsia" w:ascii="仿宋" w:hAnsi="仿宋" w:eastAsia="仿宋" w:cs="仿宋"/>
                <w:color w:val="333333"/>
                <w:kern w:val="0"/>
                <w:sz w:val="24"/>
              </w:rPr>
              <w:t>份额低于</w:t>
            </w:r>
            <w:r>
              <w:rPr>
                <w:rFonts w:hint="eastAsia" w:ascii="仿宋" w:hAnsi="仿宋" w:eastAsia="仿宋" w:cs="仿宋"/>
                <w:color w:val="333333"/>
                <w:kern w:val="0"/>
                <w:sz w:val="24"/>
                <w:lang w:val="en-US" w:eastAsia="zh-CN"/>
              </w:rPr>
              <w:t>1000</w:t>
            </w:r>
            <w:r>
              <w:rPr>
                <w:rFonts w:hint="eastAsia" w:ascii="仿宋" w:hAnsi="仿宋" w:eastAsia="仿宋" w:cs="仿宋"/>
                <w:color w:val="333333"/>
                <w:kern w:val="0"/>
                <w:sz w:val="24"/>
                <w:highlight w:val="none"/>
              </w:rPr>
              <w:t>份</w:t>
            </w:r>
            <w:r>
              <w:rPr>
                <w:rFonts w:hint="eastAsia" w:ascii="仿宋" w:hAnsi="仿宋" w:eastAsia="仿宋" w:cs="仿宋"/>
                <w:color w:val="333333"/>
                <w:kern w:val="0"/>
                <w:sz w:val="24"/>
              </w:rPr>
              <w:t>时，应当全部赎回。长沙农商银行保留调整最低</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rPr>
              <w:t>份额</w:t>
            </w:r>
            <w:r>
              <w:rPr>
                <w:rFonts w:hint="eastAsia" w:ascii="仿宋" w:hAnsi="仿宋" w:eastAsia="仿宋" w:cs="仿宋"/>
                <w:color w:val="333333"/>
                <w:kern w:val="0"/>
                <w:sz w:val="24"/>
                <w:lang w:val="en-US" w:eastAsia="zh-CN"/>
              </w:rPr>
              <w:t>的</w:t>
            </w:r>
            <w:r>
              <w:rPr>
                <w:rFonts w:hint="eastAsia" w:ascii="仿宋" w:hAnsi="仿宋" w:eastAsia="仿宋" w:cs="仿宋"/>
                <w:color w:val="333333"/>
                <w:kern w:val="0"/>
                <w:sz w:val="24"/>
              </w:rPr>
              <w:t>权利，如后续对该最低赎回份额进行调整，长沙农商银行将在规定时间内于官网进行公告，并承诺该调整不会损害投资者利益。</w:t>
            </w:r>
          </w:p>
        </w:tc>
      </w:tr>
      <w:tr w14:paraId="66DD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53314E3D">
            <w:pPr>
              <w:keepNext w:val="0"/>
              <w:keepLines w:val="0"/>
              <w:pageBreakBefore w:val="0"/>
              <w:widowControl/>
              <w:kinsoku/>
              <w:wordWrap/>
              <w:overflowPunct/>
              <w:topLinePunct w:val="0"/>
              <w:autoSpaceDE/>
              <w:autoSpaceDN/>
              <w:bidi w:val="0"/>
              <w:adjustRightInd/>
              <w:snapToGrid/>
              <w:spacing w:line="240" w:lineRule="auto"/>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6958" w:type="dxa"/>
            <w:noWrap w:val="0"/>
            <w:tcMar>
              <w:top w:w="45" w:type="dxa"/>
              <w:left w:w="45" w:type="dxa"/>
              <w:bottom w:w="45" w:type="dxa"/>
              <w:right w:w="45" w:type="dxa"/>
            </w:tcMar>
            <w:vAlign w:val="top"/>
          </w:tcPr>
          <w:p w14:paraId="251C0515">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14:paraId="7B0E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5CDB169A">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6958" w:type="dxa"/>
            <w:noWrap w:val="0"/>
            <w:tcMar>
              <w:top w:w="45" w:type="dxa"/>
              <w:left w:w="45" w:type="dxa"/>
              <w:bottom w:w="45" w:type="dxa"/>
              <w:right w:w="45" w:type="dxa"/>
            </w:tcMar>
            <w:vAlign w:val="top"/>
          </w:tcPr>
          <w:p w14:paraId="215E36BB">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14:paraId="3B36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4215FEA1">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6958" w:type="dxa"/>
            <w:noWrap w:val="0"/>
            <w:tcMar>
              <w:top w:w="45" w:type="dxa"/>
              <w:left w:w="45" w:type="dxa"/>
              <w:bottom w:w="45" w:type="dxa"/>
              <w:right w:w="45" w:type="dxa"/>
            </w:tcMar>
            <w:vAlign w:val="top"/>
          </w:tcPr>
          <w:p w14:paraId="40C1FEC4">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14:paraId="0C37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5FCFD17D">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6958" w:type="dxa"/>
            <w:noWrap w:val="0"/>
            <w:tcMar>
              <w:top w:w="45" w:type="dxa"/>
              <w:left w:w="45" w:type="dxa"/>
              <w:bottom w:w="45" w:type="dxa"/>
              <w:right w:w="45" w:type="dxa"/>
            </w:tcMar>
            <w:vAlign w:val="top"/>
          </w:tcPr>
          <w:p w14:paraId="7D3C9F7C">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2000万元，超过持有限额的认购、申购，长沙农商银行均不予确认。</w:t>
            </w:r>
          </w:p>
        </w:tc>
      </w:tr>
      <w:tr w14:paraId="5503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937" w:type="dxa"/>
            <w:noWrap w:val="0"/>
            <w:tcMar>
              <w:top w:w="45" w:type="dxa"/>
              <w:left w:w="45" w:type="dxa"/>
              <w:bottom w:w="45" w:type="dxa"/>
              <w:right w:w="45" w:type="dxa"/>
            </w:tcMar>
            <w:vAlign w:val="top"/>
          </w:tcPr>
          <w:p w14:paraId="3A38FCF5">
            <w:pPr>
              <w:keepNext w:val="0"/>
              <w:keepLines w:val="0"/>
              <w:pageBreakBefore w:val="0"/>
              <w:widowControl/>
              <w:kinsoku/>
              <w:wordWrap/>
              <w:overflowPunct/>
              <w:topLinePunct w:val="0"/>
              <w:autoSpaceDE/>
              <w:autoSpaceDN/>
              <w:bidi w:val="0"/>
              <w:adjustRightInd/>
              <w:snapToGrid/>
              <w:spacing w:line="240" w:lineRule="auto"/>
              <w:rPr>
                <w:rFonts w:hint="eastAsia" w:ascii="仿宋" w:hAnsi="仿宋" w:eastAsia="仿宋" w:cs="仿宋"/>
                <w:kern w:val="0"/>
                <w:sz w:val="24"/>
              </w:rPr>
            </w:pPr>
            <w:r>
              <w:rPr>
                <w:rFonts w:hint="eastAsia" w:ascii="仿宋" w:hAnsi="仿宋" w:eastAsia="仿宋" w:cs="仿宋"/>
                <w:b/>
                <w:bCs/>
                <w:kern w:val="0"/>
                <w:sz w:val="24"/>
              </w:rPr>
              <w:t>产品净值</w:t>
            </w:r>
          </w:p>
        </w:tc>
        <w:tc>
          <w:tcPr>
            <w:tcW w:w="6958" w:type="dxa"/>
            <w:noWrap w:val="0"/>
            <w:tcMar>
              <w:top w:w="45" w:type="dxa"/>
              <w:left w:w="45" w:type="dxa"/>
              <w:bottom w:w="45" w:type="dxa"/>
              <w:right w:w="45" w:type="dxa"/>
            </w:tcMar>
            <w:vAlign w:val="top"/>
          </w:tcPr>
          <w:p w14:paraId="4BD50043">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w:t>
            </w:r>
            <w:r>
              <w:rPr>
                <w:rFonts w:hint="eastAsia" w:ascii="仿宋" w:hAnsi="仿宋" w:eastAsia="仿宋" w:cs="仿宋"/>
                <w:kern w:val="0"/>
                <w:sz w:val="24"/>
                <w:lang w:val="en-US" w:eastAsia="zh-CN"/>
              </w:rPr>
              <w:t>公布</w:t>
            </w:r>
            <w:r>
              <w:rPr>
                <w:rFonts w:hint="eastAsia" w:ascii="仿宋" w:hAnsi="仿宋" w:eastAsia="仿宋" w:cs="仿宋"/>
                <w:kern w:val="0"/>
                <w:sz w:val="24"/>
              </w:rPr>
              <w:t>上周最后一个工作日的产品单位净值。后续开放日产品单位净值于T+1日通过长沙农商银行网站公布，申购和赎回均按该净值进行确认。产品净值保留至小数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14:paraId="1B3A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937" w:type="dxa"/>
            <w:noWrap w:val="0"/>
            <w:tcMar>
              <w:top w:w="45" w:type="dxa"/>
              <w:left w:w="45" w:type="dxa"/>
              <w:bottom w:w="45" w:type="dxa"/>
              <w:right w:w="45" w:type="dxa"/>
            </w:tcMar>
            <w:vAlign w:val="top"/>
          </w:tcPr>
          <w:p w14:paraId="30246DAC">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6958" w:type="dxa"/>
            <w:noWrap w:val="0"/>
            <w:tcMar>
              <w:top w:w="45" w:type="dxa"/>
              <w:left w:w="45" w:type="dxa"/>
              <w:bottom w:w="45" w:type="dxa"/>
              <w:right w:w="45" w:type="dxa"/>
            </w:tcMar>
            <w:vAlign w:val="top"/>
          </w:tcPr>
          <w:p w14:paraId="1F7F7BED">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除开放日、申购及赎回期时间外，本产品投资者没有提前赎回权。</w:t>
            </w:r>
            <w:r>
              <w:rPr>
                <w:rFonts w:hint="eastAsia" w:ascii="仿宋" w:hAnsi="仿宋" w:eastAsia="仿宋" w:cs="仿宋"/>
                <w:b/>
                <w:bCs/>
                <w:color w:val="333333"/>
                <w:kern w:val="0"/>
                <w:sz w:val="24"/>
              </w:rPr>
              <w:t>（详见第三条第（六）款）</w:t>
            </w:r>
          </w:p>
        </w:tc>
      </w:tr>
      <w:tr w14:paraId="330A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937" w:type="dxa"/>
            <w:noWrap w:val="0"/>
            <w:tcMar>
              <w:top w:w="45" w:type="dxa"/>
              <w:left w:w="45" w:type="dxa"/>
              <w:bottom w:w="45" w:type="dxa"/>
              <w:right w:w="45" w:type="dxa"/>
            </w:tcMar>
            <w:vAlign w:val="center"/>
          </w:tcPr>
          <w:p w14:paraId="2CF07F67">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6958" w:type="dxa"/>
            <w:noWrap w:val="0"/>
            <w:tcMar>
              <w:top w:w="45" w:type="dxa"/>
              <w:left w:w="45" w:type="dxa"/>
              <w:bottom w:w="45" w:type="dxa"/>
              <w:right w:w="45" w:type="dxa"/>
            </w:tcMar>
            <w:vAlign w:val="center"/>
          </w:tcPr>
          <w:p w14:paraId="03F4CD6C">
            <w:pPr>
              <w:keepNext w:val="0"/>
              <w:keepLines w:val="0"/>
              <w:pageBreakBefore w:val="0"/>
              <w:widowControl/>
              <w:kinsoku/>
              <w:wordWrap/>
              <w:overflowPunct/>
              <w:topLinePunct w:val="0"/>
              <w:autoSpaceDE/>
              <w:autoSpaceDN/>
              <w:bidi w:val="0"/>
              <w:adjustRightInd/>
              <w:snapToGrid/>
              <w:spacing w:line="240" w:lineRule="auto"/>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14:paraId="19D3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1937" w:type="dxa"/>
            <w:noWrap w:val="0"/>
            <w:tcMar>
              <w:top w:w="45" w:type="dxa"/>
              <w:left w:w="45" w:type="dxa"/>
              <w:bottom w:w="45" w:type="dxa"/>
              <w:right w:w="45" w:type="dxa"/>
            </w:tcMar>
            <w:vAlign w:val="top"/>
          </w:tcPr>
          <w:p w14:paraId="70A1F41C">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6958" w:type="dxa"/>
            <w:noWrap w:val="0"/>
            <w:tcMar>
              <w:top w:w="45" w:type="dxa"/>
              <w:left w:w="45" w:type="dxa"/>
              <w:bottom w:w="45" w:type="dxa"/>
              <w:right w:w="45" w:type="dxa"/>
            </w:tcMar>
            <w:vAlign w:val="top"/>
          </w:tcPr>
          <w:p w14:paraId="6D10EF44">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新综合财富(1-3年)指数，以产品投资利率债等现金类资产0-10%，金融债和信用债0-90%，杠杆率0%为例，综合已知的市场利率水平测算出本产品投资周期（2025年8月19日-2026年8月18日）业绩比较基准</w:t>
            </w:r>
            <w:r>
              <w:rPr>
                <w:rFonts w:hint="eastAsia" w:ascii="仿宋" w:hAnsi="仿宋" w:eastAsia="仿宋" w:cs="仿宋"/>
                <w:kern w:val="0"/>
                <w:sz w:val="24"/>
              </w:rPr>
              <w:t>为</w:t>
            </w:r>
            <w:r>
              <w:rPr>
                <w:rFonts w:hint="eastAsia" w:ascii="仿宋" w:hAnsi="仿宋" w:eastAsia="仿宋" w:cs="仿宋"/>
                <w:kern w:val="0"/>
                <w:sz w:val="24"/>
                <w:highlight w:val="none"/>
                <w:lang w:val="en-US" w:eastAsia="zh-CN"/>
              </w:rPr>
              <w:t>2.15%</w:t>
            </w:r>
            <w:r>
              <w:rPr>
                <w:rFonts w:hint="eastAsia" w:ascii="仿宋" w:hAnsi="仿宋" w:eastAsia="仿宋" w:cs="仿宋"/>
                <w:color w:val="333333"/>
                <w:kern w:val="0"/>
                <w:sz w:val="24"/>
              </w:rPr>
              <w:t>（年化）</w:t>
            </w:r>
            <w:r>
              <w:rPr>
                <w:rFonts w:hint="eastAsia" w:ascii="仿宋" w:hAnsi="仿宋" w:eastAsia="仿宋" w:cs="仿宋"/>
                <w:kern w:val="0"/>
                <w:sz w:val="24"/>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14:paraId="5AD8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937" w:type="dxa"/>
            <w:noWrap w:val="0"/>
            <w:tcMar>
              <w:top w:w="45" w:type="dxa"/>
              <w:left w:w="45" w:type="dxa"/>
              <w:bottom w:w="45" w:type="dxa"/>
              <w:right w:w="45" w:type="dxa"/>
            </w:tcMar>
            <w:vAlign w:val="top"/>
          </w:tcPr>
          <w:p w14:paraId="647AC50B">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6958" w:type="dxa"/>
            <w:noWrap w:val="0"/>
            <w:tcMar>
              <w:top w:w="45" w:type="dxa"/>
              <w:left w:w="45" w:type="dxa"/>
              <w:bottom w:w="45" w:type="dxa"/>
              <w:right w:w="45" w:type="dxa"/>
            </w:tcMar>
            <w:vAlign w:val="top"/>
          </w:tcPr>
          <w:p w14:paraId="3963839A">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14:paraId="10C4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937" w:type="dxa"/>
            <w:noWrap w:val="0"/>
            <w:tcMar>
              <w:top w:w="45" w:type="dxa"/>
              <w:left w:w="45" w:type="dxa"/>
              <w:bottom w:w="45" w:type="dxa"/>
              <w:right w:w="45" w:type="dxa"/>
            </w:tcMar>
            <w:vAlign w:val="top"/>
          </w:tcPr>
          <w:p w14:paraId="300CEC53">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6958" w:type="dxa"/>
            <w:noWrap w:val="0"/>
            <w:tcMar>
              <w:top w:w="45" w:type="dxa"/>
              <w:left w:w="45" w:type="dxa"/>
              <w:bottom w:w="45" w:type="dxa"/>
              <w:right w:w="45" w:type="dxa"/>
            </w:tcMar>
            <w:vAlign w:val="top"/>
          </w:tcPr>
          <w:p w14:paraId="2C113E54">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14:paraId="171B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937" w:type="dxa"/>
            <w:noWrap w:val="0"/>
            <w:tcMar>
              <w:top w:w="45" w:type="dxa"/>
              <w:left w:w="45" w:type="dxa"/>
              <w:bottom w:w="45" w:type="dxa"/>
              <w:right w:w="45" w:type="dxa"/>
            </w:tcMar>
            <w:vAlign w:val="top"/>
          </w:tcPr>
          <w:p w14:paraId="58176BFC">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6958" w:type="dxa"/>
            <w:noWrap w:val="0"/>
            <w:tcMar>
              <w:top w:w="45" w:type="dxa"/>
              <w:left w:w="45" w:type="dxa"/>
              <w:bottom w:w="45" w:type="dxa"/>
              <w:right w:w="45" w:type="dxa"/>
            </w:tcMar>
            <w:vAlign w:val="top"/>
          </w:tcPr>
          <w:p w14:paraId="668099D1">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14:paraId="1A65B411">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14:paraId="5FF74C83">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14:paraId="210B38F7">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14:paraId="055F4EB7">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管理费：本产品按前一日产品资产净值的0.3%（年化）收取固定管理费，按日计提。</w:t>
            </w:r>
          </w:p>
          <w:p w14:paraId="1D78639D">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kern w:val="0"/>
                <w:sz w:val="24"/>
                <w:lang w:val="en-US" w:eastAsia="zh-CN"/>
              </w:rPr>
              <w:t>扣除固定管理费、托管费、估值费等税费</w:t>
            </w:r>
            <w:r>
              <w:rPr>
                <w:rFonts w:hint="eastAsia" w:ascii="仿宋" w:hAnsi="仿宋" w:eastAsia="仿宋" w:cs="仿宋"/>
                <w:kern w:val="0"/>
                <w:sz w:val="24"/>
              </w:rPr>
              <w:t>后</w:t>
            </w:r>
            <w:r>
              <w:rPr>
                <w:rFonts w:hint="eastAsia" w:ascii="仿宋" w:hAnsi="仿宋" w:eastAsia="仿宋" w:cs="仿宋"/>
                <w:color w:val="333333"/>
                <w:kern w:val="0"/>
                <w:sz w:val="24"/>
              </w:rPr>
              <w:t>净值折算的该周期年化收益率高于业绩比较基准的部分，</w:t>
            </w:r>
            <w:r>
              <w:rPr>
                <w:rFonts w:hint="eastAsia" w:ascii="仿宋" w:hAnsi="仿宋" w:eastAsia="仿宋" w:cs="仿宋"/>
                <w:color w:val="333333"/>
                <w:kern w:val="0"/>
                <w:sz w:val="24"/>
                <w:lang w:val="en-US" w:eastAsia="zh-CN"/>
              </w:rPr>
              <w:t>管理人</w:t>
            </w:r>
            <w:r>
              <w:rPr>
                <w:rFonts w:hint="eastAsia" w:ascii="仿宋" w:hAnsi="仿宋" w:eastAsia="仿宋" w:cs="仿宋"/>
                <w:color w:val="333333"/>
                <w:kern w:val="0"/>
                <w:sz w:val="24"/>
              </w:rPr>
              <w:t>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14:paraId="433C09EE">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14:paraId="5724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937" w:type="dxa"/>
            <w:noWrap w:val="0"/>
            <w:tcMar>
              <w:top w:w="45" w:type="dxa"/>
              <w:left w:w="45" w:type="dxa"/>
              <w:bottom w:w="45" w:type="dxa"/>
              <w:right w:w="45" w:type="dxa"/>
            </w:tcMar>
            <w:vAlign w:val="top"/>
          </w:tcPr>
          <w:p w14:paraId="6E323E3F">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6958" w:type="dxa"/>
            <w:noWrap w:val="0"/>
            <w:tcMar>
              <w:top w:w="45" w:type="dxa"/>
              <w:left w:w="45" w:type="dxa"/>
              <w:bottom w:w="45" w:type="dxa"/>
              <w:right w:w="45" w:type="dxa"/>
            </w:tcMar>
            <w:vAlign w:val="top"/>
          </w:tcPr>
          <w:p w14:paraId="2384A59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14:paraId="0B8C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937" w:type="dxa"/>
            <w:noWrap w:val="0"/>
            <w:tcMar>
              <w:top w:w="45" w:type="dxa"/>
              <w:left w:w="45" w:type="dxa"/>
              <w:bottom w:w="45" w:type="dxa"/>
              <w:right w:w="45" w:type="dxa"/>
            </w:tcMar>
            <w:vAlign w:val="top"/>
          </w:tcPr>
          <w:p w14:paraId="3DFA9586">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6958" w:type="dxa"/>
            <w:noWrap w:val="0"/>
            <w:tcMar>
              <w:top w:w="45" w:type="dxa"/>
              <w:left w:w="45" w:type="dxa"/>
              <w:bottom w:w="45" w:type="dxa"/>
              <w:right w:w="45" w:type="dxa"/>
            </w:tcMar>
            <w:vAlign w:val="top"/>
          </w:tcPr>
          <w:p w14:paraId="20AD3BB5">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开放日、申购和赎回期</w:t>
            </w:r>
            <w:r>
              <w:rPr>
                <w:rFonts w:hint="eastAsia" w:ascii="仿宋" w:hAnsi="仿宋" w:eastAsia="仿宋" w:cs="仿宋"/>
                <w:color w:val="333333"/>
                <w:kern w:val="0"/>
                <w:sz w:val="24"/>
              </w:rPr>
              <w:t>内，个人投资者可在手机银行</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含</w:t>
            </w:r>
            <w:bookmarkStart w:id="2" w:name="_GoBack"/>
            <w:bookmarkEnd w:id="2"/>
            <w:r>
              <w:rPr>
                <w:rFonts w:hint="eastAsia" w:ascii="仿宋" w:hAnsi="仿宋" w:eastAsia="仿宋" w:cs="仿宋"/>
                <w:color w:val="333333"/>
                <w:kern w:val="0"/>
                <w:sz w:val="24"/>
                <w:lang w:val="en-US" w:eastAsia="zh-CN"/>
              </w:rPr>
              <w:t>长沙农商APP</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14:paraId="42DD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rPr>
        <w:tc>
          <w:tcPr>
            <w:tcW w:w="1937" w:type="dxa"/>
            <w:noWrap w:val="0"/>
            <w:tcMar>
              <w:top w:w="45" w:type="dxa"/>
              <w:left w:w="45" w:type="dxa"/>
              <w:bottom w:w="45" w:type="dxa"/>
              <w:right w:w="45" w:type="dxa"/>
            </w:tcMar>
            <w:vAlign w:val="top"/>
          </w:tcPr>
          <w:p w14:paraId="3D0C8BBC">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6958" w:type="dxa"/>
            <w:noWrap w:val="0"/>
            <w:tcMar>
              <w:top w:w="45" w:type="dxa"/>
              <w:left w:w="45" w:type="dxa"/>
              <w:bottom w:w="45" w:type="dxa"/>
              <w:right w:w="45" w:type="dxa"/>
            </w:tcMar>
            <w:vAlign w:val="top"/>
          </w:tcPr>
          <w:p w14:paraId="25B32EDA">
            <w:pPr>
              <w:keepNext w:val="0"/>
              <w:keepLines w:val="0"/>
              <w:pageBreakBefore w:val="0"/>
              <w:widowControl/>
              <w:numPr>
                <w:ilvl w:val="0"/>
                <w:numId w:val="2"/>
              </w:numPr>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14:paraId="790DA37A">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14:paraId="5BA5FF83">
            <w:pPr>
              <w:keepNext w:val="0"/>
              <w:keepLines w:val="0"/>
              <w:pageBreakBefore w:val="0"/>
              <w:widowControl/>
              <w:numPr>
                <w:ilvl w:val="0"/>
                <w:numId w:val="2"/>
              </w:numPr>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14:paraId="3A2605E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14:paraId="083B4B26">
            <w:pPr>
              <w:keepNext w:val="0"/>
              <w:keepLines w:val="0"/>
              <w:pageBreakBefore w:val="0"/>
              <w:widowControl/>
              <w:numPr>
                <w:ilvl w:val="0"/>
                <w:numId w:val="2"/>
              </w:numPr>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及</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14:paraId="2DB1490F">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及</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期内，投资者可对已提交的申请进行撤销，须单笔全额撤销。</w:t>
            </w:r>
          </w:p>
        </w:tc>
      </w:tr>
    </w:tbl>
    <w:p w14:paraId="2C861DBD">
      <w:pPr>
        <w:widowControl/>
        <w:spacing w:line="240" w:lineRule="auto"/>
        <w:jc w:val="left"/>
        <w:rPr>
          <w:rFonts w:hint="eastAsia" w:ascii="仿宋" w:hAnsi="仿宋" w:eastAsia="仿宋" w:cs="仿宋"/>
          <w:kern w:val="0"/>
          <w:sz w:val="24"/>
        </w:rPr>
      </w:pPr>
      <w:r>
        <w:rPr>
          <w:rFonts w:hint="eastAsia" w:ascii="仿宋" w:hAnsi="仿宋" w:eastAsia="仿宋" w:cs="仿宋"/>
          <w:b/>
          <w:bCs/>
          <w:kern w:val="0"/>
          <w:sz w:val="24"/>
        </w:rPr>
        <w:t xml:space="preserve">    三、产品认购、申购、赎回方式</w:t>
      </w:r>
    </w:p>
    <w:p w14:paraId="329EA8FD">
      <w:pPr>
        <w:widowControl/>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rPr>
        <w:t xml:space="preserve">    （一）本金及理财收益</w:t>
      </w:r>
    </w:p>
    <w:p w14:paraId="194EAF99">
      <w:pPr>
        <w:widowControl/>
        <w:spacing w:line="240" w:lineRule="auto"/>
        <w:ind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14:paraId="555D1745">
      <w:pPr>
        <w:widowControl/>
        <w:spacing w:line="240" w:lineRule="auto"/>
        <w:ind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14:paraId="12FB60FE">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14:paraId="68FB15D8">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14:paraId="3C79E1BC">
      <w:pPr>
        <w:widowControl/>
        <w:spacing w:line="240" w:lineRule="auto"/>
        <w:ind w:firstLine="360"/>
        <w:jc w:val="left"/>
        <w:rPr>
          <w:rFonts w:hint="eastAsia" w:ascii="仿宋" w:hAnsi="仿宋" w:eastAsia="仿宋" w:cs="仿宋"/>
          <w:kern w:val="0"/>
          <w:sz w:val="24"/>
        </w:rPr>
      </w:pPr>
      <w:r>
        <w:rPr>
          <w:rFonts w:hint="eastAsia" w:ascii="仿宋" w:hAnsi="仿宋" w:eastAsia="仿宋" w:cs="仿宋"/>
          <w:kern w:val="0"/>
          <w:sz w:val="24"/>
        </w:rPr>
        <w:t>（二）认购</w:t>
      </w:r>
    </w:p>
    <w:p w14:paraId="53A1C6E9">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r>
        <w:rPr>
          <w:rFonts w:hint="eastAsia" w:ascii="仿宋" w:hAnsi="仿宋" w:eastAsia="仿宋" w:cs="仿宋"/>
          <w:kern w:val="0"/>
          <w:sz w:val="24"/>
          <w:lang w:val="en-US" w:eastAsia="zh-CN"/>
        </w:rPr>
        <w:t>6</w:t>
      </w:r>
      <w:r>
        <w:rPr>
          <w:rFonts w:hint="eastAsia" w:ascii="仿宋" w:hAnsi="仿宋" w:eastAsia="仿宋" w:cs="仿宋"/>
          <w:kern w:val="0"/>
          <w:sz w:val="24"/>
        </w:rPr>
        <w:t>日</w:t>
      </w:r>
      <w:r>
        <w:rPr>
          <w:rFonts w:hint="eastAsia" w:ascii="仿宋" w:hAnsi="仿宋" w:eastAsia="仿宋" w:cs="仿宋"/>
          <w:kern w:val="0"/>
          <w:sz w:val="24"/>
          <w:lang w:val="en-US" w:eastAsia="zh-CN"/>
        </w:rPr>
        <w:t>8</w:t>
      </w:r>
      <w:r>
        <w:rPr>
          <w:rFonts w:hint="eastAsia" w:ascii="仿宋" w:hAnsi="仿宋" w:eastAsia="仿宋" w:cs="仿宋"/>
          <w:kern w:val="0"/>
          <w:sz w:val="24"/>
        </w:rPr>
        <w:t>:00至202</w:t>
      </w:r>
      <w:r>
        <w:rPr>
          <w:rFonts w:hint="eastAsia" w:ascii="仿宋" w:hAnsi="仿宋" w:eastAsia="仿宋" w:cs="仿宋"/>
          <w:kern w:val="0"/>
          <w:sz w:val="24"/>
          <w:lang w:val="en-US" w:eastAsia="zh-CN"/>
        </w:rPr>
        <w:t>1</w:t>
      </w:r>
      <w:r>
        <w:rPr>
          <w:rFonts w:hint="eastAsia" w:ascii="仿宋" w:hAnsi="仿宋" w:eastAsia="仿宋" w:cs="仿宋"/>
          <w:kern w:val="0"/>
          <w:sz w:val="24"/>
        </w:rPr>
        <w:t>年</w:t>
      </w:r>
      <w:r>
        <w:rPr>
          <w:rFonts w:hint="eastAsia" w:ascii="仿宋" w:hAnsi="仿宋" w:eastAsia="仿宋" w:cs="仿宋"/>
          <w:kern w:val="0"/>
          <w:sz w:val="24"/>
          <w:lang w:val="en-US" w:eastAsia="zh-CN"/>
        </w:rPr>
        <w:t>8</w:t>
      </w:r>
      <w:r>
        <w:rPr>
          <w:rFonts w:hint="eastAsia" w:ascii="仿宋" w:hAnsi="仿宋" w:eastAsia="仿宋" w:cs="仿宋"/>
          <w:kern w:val="0"/>
          <w:sz w:val="24"/>
        </w:rPr>
        <w:t>月</w:t>
      </w:r>
      <w:r>
        <w:rPr>
          <w:rFonts w:hint="eastAsia" w:ascii="仿宋" w:hAnsi="仿宋" w:eastAsia="仿宋" w:cs="仿宋"/>
          <w:kern w:val="0"/>
          <w:sz w:val="24"/>
          <w:lang w:val="en-US" w:eastAsia="zh-CN"/>
        </w:rPr>
        <w:t>17</w:t>
      </w:r>
      <w:r>
        <w:rPr>
          <w:rFonts w:hint="eastAsia" w:ascii="仿宋" w:hAnsi="仿宋" w:eastAsia="仿宋" w:cs="仿宋"/>
          <w:kern w:val="0"/>
          <w:sz w:val="24"/>
        </w:rPr>
        <w:t>日17: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p>
    <w:p w14:paraId="02E0A6BE">
      <w:pPr>
        <w:widowControl/>
        <w:spacing w:line="240" w:lineRule="auto"/>
        <w:ind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14:paraId="49776F5A">
      <w:pPr>
        <w:widowControl/>
        <w:spacing w:line="240" w:lineRule="auto"/>
        <w:ind w:firstLine="360"/>
        <w:jc w:val="left"/>
        <w:rPr>
          <w:rFonts w:hint="eastAsia" w:ascii="仿宋" w:hAnsi="仿宋" w:eastAsia="仿宋" w:cs="仿宋"/>
          <w:kern w:val="0"/>
          <w:sz w:val="24"/>
        </w:rPr>
      </w:pPr>
      <w:r>
        <w:rPr>
          <w:rFonts w:hint="eastAsia" w:ascii="仿宋" w:hAnsi="仿宋" w:eastAsia="仿宋" w:cs="仿宋"/>
          <w:kern w:val="0"/>
          <w:sz w:val="24"/>
        </w:rPr>
        <w:t>（三）申购</w:t>
      </w:r>
    </w:p>
    <w:p w14:paraId="29BD5793">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14:paraId="5DBF94C2">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14:paraId="5B05A5D9">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14:paraId="7E7C609A">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14:paraId="3EB4B66F">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14:paraId="3FBEFAC7">
      <w:pPr>
        <w:widowControl/>
        <w:spacing w:line="240" w:lineRule="auto"/>
        <w:ind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18</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19</w:t>
      </w:r>
      <w:r>
        <w:rPr>
          <w:rFonts w:hint="eastAsia" w:ascii="仿宋" w:hAnsi="仿宋" w:eastAsia="仿宋" w:cs="仿宋"/>
          <w:color w:val="333333"/>
          <w:kern w:val="0"/>
          <w:sz w:val="24"/>
        </w:rPr>
        <w:t>日（工作日）进行申购确认，同时，银行于</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19</w:t>
      </w:r>
      <w:r>
        <w:rPr>
          <w:rFonts w:hint="eastAsia" w:ascii="仿宋" w:hAnsi="仿宋" w:eastAsia="仿宋" w:cs="仿宋"/>
          <w:color w:val="333333"/>
          <w:kern w:val="0"/>
          <w:sz w:val="24"/>
        </w:rPr>
        <w:t>日公布的</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18</w:t>
      </w:r>
      <w:r>
        <w:rPr>
          <w:rFonts w:hint="eastAsia" w:ascii="仿宋" w:hAnsi="仿宋" w:eastAsia="仿宋" w:cs="仿宋"/>
          <w:color w:val="333333"/>
          <w:kern w:val="0"/>
          <w:sz w:val="24"/>
        </w:rPr>
        <w:t>日产品净值为</w:t>
      </w:r>
      <w:r>
        <w:rPr>
          <w:rFonts w:hint="eastAsia" w:ascii="仿宋" w:hAnsi="仿宋" w:eastAsia="仿宋" w:cs="仿宋"/>
          <w:color w:val="333333"/>
          <w:kern w:val="0"/>
          <w:sz w:val="24"/>
          <w:lang w:eastAsia="zh-CN"/>
        </w:rPr>
        <w:t>1.04350</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w:t>
      </w:r>
      <w:r>
        <w:rPr>
          <w:rFonts w:hint="eastAsia" w:ascii="仿宋" w:hAnsi="仿宋" w:eastAsia="仿宋" w:cs="仿宋"/>
          <w:color w:val="333333"/>
          <w:kern w:val="0"/>
          <w:sz w:val="24"/>
          <w:lang w:eastAsia="zh-CN"/>
        </w:rPr>
        <w:t>1.04350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47915.67</w:t>
      </w:r>
      <w:r>
        <w:rPr>
          <w:rFonts w:hint="eastAsia" w:ascii="仿宋" w:hAnsi="仿宋" w:eastAsia="仿宋" w:cs="仿宋"/>
          <w:color w:val="333333"/>
          <w:kern w:val="0"/>
          <w:sz w:val="24"/>
        </w:rPr>
        <w:t>份。</w:t>
      </w:r>
    </w:p>
    <w:p w14:paraId="0DA5F730">
      <w:pPr>
        <w:widowControl/>
        <w:spacing w:line="240" w:lineRule="auto"/>
        <w:ind w:firstLine="360"/>
        <w:jc w:val="left"/>
        <w:rPr>
          <w:rFonts w:hint="eastAsia" w:ascii="仿宋" w:hAnsi="仿宋" w:eastAsia="仿宋" w:cs="仿宋"/>
          <w:kern w:val="0"/>
          <w:sz w:val="24"/>
        </w:rPr>
      </w:pPr>
      <w:r>
        <w:rPr>
          <w:rFonts w:hint="eastAsia" w:ascii="仿宋" w:hAnsi="仿宋" w:eastAsia="仿宋" w:cs="仿宋"/>
          <w:color w:val="333333"/>
          <w:kern w:val="0"/>
          <w:sz w:val="24"/>
        </w:rPr>
        <w:t>（四）赎回</w:t>
      </w:r>
    </w:p>
    <w:p w14:paraId="0DF2C090">
      <w:pPr>
        <w:widowControl/>
        <w:spacing w:line="240" w:lineRule="auto"/>
        <w:ind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14:paraId="24ED9FAA">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14:paraId="5B30AF6A">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14:paraId="06D45FE2">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14:paraId="50B1942F">
      <w:pPr>
        <w:widowControl/>
        <w:spacing w:line="240" w:lineRule="auto"/>
        <w:ind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14:paraId="6D3258E7">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14:paraId="2107AFBF">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14:paraId="655135AF">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14:paraId="0DE8AA35">
      <w:pPr>
        <w:widowControl/>
        <w:spacing w:line="240" w:lineRule="auto"/>
        <w:ind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8月18日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w:t>
      </w:r>
      <w:r>
        <w:rPr>
          <w:rFonts w:hint="eastAsia" w:ascii="仿宋" w:hAnsi="仿宋" w:eastAsia="仿宋" w:cs="仿宋"/>
          <w:color w:val="333333"/>
          <w:kern w:val="0"/>
          <w:sz w:val="24"/>
        </w:rPr>
        <w:t>日）11:00申请全部赎回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开放周期为365天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8月19日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eastAsia="zh-CN"/>
        </w:rPr>
        <w:t>1.04350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1.04350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4.35</w:t>
      </w:r>
      <w:r>
        <w:rPr>
          <w:rFonts w:hint="eastAsia" w:ascii="仿宋" w:hAnsi="仿宋" w:eastAsia="仿宋" w:cs="仿宋"/>
          <w:color w:val="333333"/>
          <w:kern w:val="0"/>
          <w:sz w:val="24"/>
        </w:rPr>
        <w:t>%，超过了业绩比较基准（</w:t>
      </w:r>
      <w:r>
        <w:rPr>
          <w:rFonts w:hint="eastAsia" w:ascii="仿宋" w:hAnsi="仿宋" w:eastAsia="仿宋" w:cs="仿宋"/>
          <w:color w:val="333333"/>
          <w:kern w:val="0"/>
          <w:sz w:val="24"/>
          <w:lang w:val="en-US" w:eastAsia="zh-CN"/>
        </w:rPr>
        <w:t>如4.05%</w:t>
      </w:r>
      <w:r>
        <w:rPr>
          <w:rFonts w:hint="eastAsia" w:ascii="仿宋" w:hAnsi="仿宋" w:eastAsia="仿宋" w:cs="仿宋"/>
          <w:color w:val="333333"/>
          <w:kern w:val="0"/>
          <w:sz w:val="24"/>
        </w:rPr>
        <w:t>），</w:t>
      </w:r>
    </w:p>
    <w:p w14:paraId="50E30918">
      <w:pPr>
        <w:widowControl/>
        <w:spacing w:line="240" w:lineRule="auto"/>
        <w:ind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则管理人收取浮动管理费为：50000×[</w:t>
      </w:r>
      <w:r>
        <w:rPr>
          <w:rFonts w:hint="eastAsia" w:ascii="仿宋" w:hAnsi="仿宋" w:eastAsia="仿宋" w:cs="仿宋"/>
          <w:color w:val="333333"/>
          <w:kern w:val="0"/>
          <w:sz w:val="24"/>
          <w:lang w:eastAsia="zh-CN"/>
        </w:rPr>
        <w:t>1.04350</w:t>
      </w:r>
      <w:r>
        <w:rPr>
          <w:rFonts w:hint="eastAsia" w:ascii="仿宋" w:hAnsi="仿宋" w:eastAsia="仿宋" w:cs="仿宋"/>
          <w:color w:val="333333"/>
          <w:kern w:val="0"/>
          <w:sz w:val="24"/>
        </w:rPr>
        <w:t>-（1+</w:t>
      </w:r>
      <w:r>
        <w:rPr>
          <w:rFonts w:hint="eastAsia" w:ascii="仿宋" w:hAnsi="仿宋" w:eastAsia="仿宋" w:cs="仿宋"/>
          <w:color w:val="333333"/>
          <w:kern w:val="0"/>
          <w:sz w:val="24"/>
          <w:lang w:val="en-US" w:eastAsia="zh-CN"/>
        </w:rPr>
        <w:t>4.05%</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365）]×</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w:t>
      </w:r>
      <w:r>
        <w:rPr>
          <w:rFonts w:hint="eastAsia" w:ascii="仿宋" w:hAnsi="仿宋" w:eastAsia="仿宋" w:cs="仿宋"/>
          <w:color w:val="333333"/>
          <w:kern w:val="0"/>
          <w:sz w:val="24"/>
          <w:lang w:val="en-US" w:eastAsia="zh-CN"/>
        </w:rPr>
        <w:t>120</w:t>
      </w:r>
      <w:r>
        <w:rPr>
          <w:rFonts w:hint="eastAsia" w:ascii="仿宋" w:hAnsi="仿宋" w:eastAsia="仿宋" w:cs="仿宋"/>
          <w:color w:val="333333"/>
          <w:kern w:val="0"/>
          <w:sz w:val="24"/>
        </w:rPr>
        <w:t>元，赎回费0元</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扣除浮动管理费后，投资者最终收回资金为：</w:t>
      </w:r>
    </w:p>
    <w:p w14:paraId="515B515B">
      <w:pPr>
        <w:widowControl/>
        <w:spacing w:line="240" w:lineRule="auto"/>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50000×</w:t>
      </w:r>
      <w:r>
        <w:rPr>
          <w:rFonts w:hint="eastAsia" w:ascii="仿宋" w:hAnsi="仿宋" w:eastAsia="仿宋" w:cs="仿宋"/>
          <w:color w:val="333333"/>
          <w:kern w:val="0"/>
          <w:sz w:val="24"/>
          <w:lang w:eastAsia="zh-CN"/>
        </w:rPr>
        <w:t>1.04350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120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52055.00</w:t>
      </w:r>
      <w:r>
        <w:rPr>
          <w:rFonts w:hint="eastAsia" w:ascii="仿宋" w:hAnsi="仿宋" w:eastAsia="仿宋" w:cs="仿宋"/>
          <w:color w:val="333333"/>
          <w:kern w:val="0"/>
          <w:sz w:val="24"/>
        </w:rPr>
        <w:t>元 投资者实际收益年化为</w:t>
      </w:r>
      <w:r>
        <w:rPr>
          <w:rFonts w:hint="eastAsia" w:ascii="仿宋" w:hAnsi="仿宋" w:eastAsia="仿宋" w:cs="仿宋"/>
          <w:color w:val="333333"/>
          <w:kern w:val="0"/>
          <w:sz w:val="24"/>
          <w:lang w:val="en-US" w:eastAsia="zh-CN"/>
        </w:rPr>
        <w:t>4.11</w:t>
      </w:r>
      <w:r>
        <w:rPr>
          <w:rFonts w:hint="eastAsia" w:ascii="仿宋" w:hAnsi="仿宋" w:eastAsia="仿宋" w:cs="仿宋"/>
          <w:color w:val="333333"/>
          <w:kern w:val="0"/>
          <w:sz w:val="24"/>
        </w:rPr>
        <w:t>%</w:t>
      </w:r>
    </w:p>
    <w:p w14:paraId="08091D09">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计算示例二：</w:t>
      </w:r>
    </w:p>
    <w:p w14:paraId="78893F4F">
      <w:pPr>
        <w:widowControl/>
        <w:spacing w:line="240" w:lineRule="auto"/>
        <w:ind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8月18日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开放日、工作日</w:t>
      </w:r>
      <w:r>
        <w:rPr>
          <w:rFonts w:hint="eastAsia" w:ascii="仿宋" w:hAnsi="仿宋" w:eastAsia="仿宋" w:cs="仿宋"/>
          <w:color w:val="333333"/>
          <w:kern w:val="0"/>
          <w:sz w:val="24"/>
        </w:rPr>
        <w:t>）11:00申请全部赎回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开放周期为365天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8月19日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1.04030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1.04</w:t>
      </w:r>
      <w:r>
        <w:rPr>
          <w:rFonts w:hint="eastAsia" w:ascii="仿宋" w:hAnsi="仿宋" w:eastAsia="仿宋" w:cs="仿宋"/>
          <w:color w:val="333333"/>
          <w:kern w:val="0"/>
          <w:sz w:val="24"/>
          <w:lang w:val="en-US" w:eastAsia="zh-CN"/>
        </w:rPr>
        <w:t>030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365</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4.03</w:t>
      </w:r>
      <w:r>
        <w:rPr>
          <w:rFonts w:hint="eastAsia" w:ascii="仿宋" w:hAnsi="仿宋" w:eastAsia="仿宋" w:cs="仿宋"/>
          <w:color w:val="333333"/>
          <w:kern w:val="0"/>
          <w:sz w:val="24"/>
        </w:rPr>
        <w:t>%</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低于业绩比较基准（</w:t>
      </w:r>
      <w:r>
        <w:rPr>
          <w:rFonts w:hint="eastAsia" w:ascii="仿宋" w:hAnsi="仿宋" w:eastAsia="仿宋" w:cs="仿宋"/>
          <w:color w:val="333333"/>
          <w:kern w:val="0"/>
          <w:sz w:val="24"/>
          <w:lang w:val="en-US" w:eastAsia="zh-CN"/>
        </w:rPr>
        <w:t>如4.05%</w:t>
      </w:r>
      <w:r>
        <w:rPr>
          <w:rFonts w:hint="eastAsia" w:ascii="仿宋" w:hAnsi="仿宋" w:eastAsia="仿宋" w:cs="仿宋"/>
          <w:color w:val="333333"/>
          <w:kern w:val="0"/>
          <w:sz w:val="24"/>
        </w:rPr>
        <w:t>），管理人不收取浮动管理费</w:t>
      </w:r>
      <w:r>
        <w:rPr>
          <w:rFonts w:hint="eastAsia" w:ascii="仿宋" w:hAnsi="仿宋" w:eastAsia="仿宋" w:cs="仿宋"/>
          <w:color w:val="333333"/>
          <w:kern w:val="0"/>
          <w:sz w:val="24"/>
          <w:lang w:val="en-US" w:eastAsia="zh-CN"/>
        </w:rPr>
        <w:t>，赎回费0元，投资者应得赎回资金为50000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1.04030=52015.00元。</w:t>
      </w:r>
    </w:p>
    <w:p w14:paraId="7DFE9B6B">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14:paraId="2D04D64C">
      <w:pPr>
        <w:widowControl/>
        <w:spacing w:line="240" w:lineRule="auto"/>
        <w:ind w:firstLine="36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14:paraId="241ACB6D">
      <w:pPr>
        <w:widowControl/>
        <w:numPr>
          <w:ilvl w:val="0"/>
          <w:numId w:val="3"/>
        </w:numPr>
        <w:spacing w:line="240" w:lineRule="auto"/>
        <w:ind w:firstLine="36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14:paraId="18286E24">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14:paraId="0ED17F07">
      <w:pPr>
        <w:widowControl/>
        <w:spacing w:line="240" w:lineRule="auto"/>
        <w:ind w:firstLine="48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14:paraId="4FB11BF5">
      <w:pPr>
        <w:widowControl/>
        <w:spacing w:line="240" w:lineRule="auto"/>
        <w:ind w:firstLine="360"/>
        <w:jc w:val="left"/>
        <w:rPr>
          <w:rFonts w:hint="eastAsia" w:ascii="仿宋" w:hAnsi="仿宋" w:eastAsia="仿宋" w:cs="仿宋"/>
          <w:kern w:val="0"/>
          <w:sz w:val="24"/>
        </w:rPr>
      </w:pPr>
      <w:r>
        <w:rPr>
          <w:rFonts w:hint="eastAsia" w:ascii="仿宋" w:hAnsi="仿宋" w:eastAsia="仿宋" w:cs="仿宋"/>
          <w:kern w:val="0"/>
          <w:sz w:val="24"/>
        </w:rPr>
        <w:t>（六）提前终止</w:t>
      </w:r>
    </w:p>
    <w:p w14:paraId="6F3C730D">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14:paraId="03EA14FA">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可</w:t>
      </w:r>
      <w:r>
        <w:rPr>
          <w:rFonts w:hint="eastAsia" w:ascii="仿宋" w:hAnsi="仿宋" w:eastAsia="仿宋" w:cs="仿宋"/>
          <w:b w:val="0"/>
          <w:bCs/>
          <w:kern w:val="0"/>
          <w:sz w:val="24"/>
        </w:rPr>
        <w:t>视情况选择以下一种或多种方式告知投资者：长沙农商银行网站（www.crcbbank.com）</w:t>
      </w:r>
      <w:r>
        <w:rPr>
          <w:rFonts w:hint="eastAsia" w:ascii="仿宋" w:hAnsi="仿宋" w:eastAsia="仿宋" w:cs="仿宋"/>
          <w:b w:val="0"/>
          <w:bCs/>
          <w:kern w:val="0"/>
          <w:sz w:val="24"/>
          <w:lang w:eastAsia="zh-CN"/>
        </w:rPr>
        <w:t>、长沙农商银行微信公众号</w:t>
      </w:r>
      <w:r>
        <w:rPr>
          <w:rFonts w:hint="eastAsia" w:ascii="仿宋" w:hAnsi="仿宋" w:eastAsia="仿宋" w:cs="仿宋"/>
          <w:b w:val="0"/>
          <w:bCs/>
          <w:kern w:val="0"/>
          <w:sz w:val="24"/>
        </w:rPr>
        <w:t>、相关营业网点发布、电子邮件、电话、以信函形式邮寄、手机短信等</w:t>
      </w:r>
      <w:r>
        <w:rPr>
          <w:rFonts w:hint="eastAsia" w:ascii="仿宋" w:hAnsi="仿宋" w:eastAsia="仿宋" w:cs="仿宋"/>
          <w:b w:val="0"/>
          <w:bCs/>
          <w:kern w:val="0"/>
          <w:sz w:val="24"/>
          <w:lang w:eastAsia="zh-CN"/>
        </w:rPr>
        <w:t>，</w:t>
      </w:r>
      <w:r>
        <w:rPr>
          <w:rFonts w:hint="eastAsia" w:ascii="仿宋" w:hAnsi="仿宋" w:eastAsia="仿宋" w:cs="仿宋"/>
          <w:color w:val="333333"/>
          <w:kern w:val="0"/>
          <w:sz w:val="24"/>
        </w:rPr>
        <w:t>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w:t>
      </w:r>
      <w:r>
        <w:rPr>
          <w:rFonts w:hint="eastAsia" w:ascii="仿宋" w:hAnsi="仿宋" w:eastAsia="仿宋" w:cs="仿宋"/>
          <w:color w:val="333333"/>
          <w:kern w:val="0"/>
          <w:sz w:val="24"/>
          <w:lang w:eastAsia="zh-CN"/>
        </w:rPr>
        <w:t>账</w:t>
      </w:r>
      <w:r>
        <w:rPr>
          <w:rFonts w:hint="eastAsia" w:ascii="仿宋" w:hAnsi="仿宋" w:eastAsia="仿宋" w:cs="仿宋"/>
          <w:color w:val="333333"/>
          <w:kern w:val="0"/>
          <w:sz w:val="24"/>
        </w:rPr>
        <w:t>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14:paraId="2C9DACBA">
      <w:pPr>
        <w:widowControl/>
        <w:spacing w:line="240" w:lineRule="auto"/>
        <w:rPr>
          <w:rFonts w:hint="eastAsia" w:ascii="仿宋" w:hAnsi="仿宋" w:eastAsia="仿宋" w:cs="仿宋"/>
          <w:kern w:val="0"/>
          <w:sz w:val="24"/>
        </w:rPr>
      </w:pPr>
      <w:r>
        <w:rPr>
          <w:rFonts w:hint="eastAsia" w:ascii="仿宋" w:hAnsi="仿宋" w:eastAsia="仿宋" w:cs="仿宋"/>
          <w:b/>
          <w:bCs/>
          <w:kern w:val="0"/>
          <w:sz w:val="24"/>
        </w:rPr>
        <w:t xml:space="preserve">   四、投资方向范围及比例</w:t>
      </w:r>
    </w:p>
    <w:p w14:paraId="62A96870">
      <w:pPr>
        <w:widowControl/>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14:paraId="207EE958">
      <w:pPr>
        <w:widowControl/>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14:paraId="6FA89EB6">
      <w:pPr>
        <w:widowControl/>
        <w:spacing w:line="240" w:lineRule="auto"/>
        <w:ind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14:paraId="09D172E5">
      <w:pPr>
        <w:widowControl/>
        <w:spacing w:line="240" w:lineRule="auto"/>
        <w:ind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14:paraId="64A0A930">
      <w:pPr>
        <w:widowControl/>
        <w:spacing w:line="240" w:lineRule="auto"/>
        <w:ind w:firstLine="361"/>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14:paraId="28E20E54">
      <w:pPr>
        <w:widowControl/>
        <w:spacing w:line="240" w:lineRule="auto"/>
        <w:ind w:firstLine="360"/>
        <w:jc w:val="left"/>
        <w:rPr>
          <w:rFonts w:hint="eastAsia" w:ascii="仿宋" w:hAnsi="仿宋" w:eastAsia="仿宋" w:cs="仿宋"/>
          <w:kern w:val="0"/>
          <w:sz w:val="24"/>
          <w:lang w:val="en-US" w:eastAsia="zh-CN"/>
        </w:rPr>
      </w:pPr>
      <w:r>
        <w:rPr>
          <w:rFonts w:hint="eastAsia" w:ascii="仿宋" w:hAnsi="仿宋" w:eastAsia="仿宋" w:cs="仿宋"/>
          <w:kern w:val="0"/>
          <w:sz w:val="24"/>
        </w:rPr>
        <w:t>（一）估值</w:t>
      </w:r>
      <w:r>
        <w:rPr>
          <w:rFonts w:hint="eastAsia" w:ascii="仿宋" w:hAnsi="仿宋" w:eastAsia="仿宋" w:cs="仿宋"/>
          <w:kern w:val="0"/>
          <w:sz w:val="24"/>
          <w:lang w:val="en-US" w:eastAsia="zh-CN"/>
        </w:rPr>
        <w:t>日</w:t>
      </w:r>
    </w:p>
    <w:p w14:paraId="6A64A131">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w:t>
      </w:r>
      <w:r>
        <w:rPr>
          <w:rFonts w:hint="eastAsia" w:ascii="仿宋" w:hAnsi="仿宋" w:eastAsia="仿宋" w:cs="仿宋"/>
          <w:kern w:val="0"/>
          <w:sz w:val="24"/>
        </w:rPr>
        <w:t>法定工作日。</w:t>
      </w:r>
    </w:p>
    <w:p w14:paraId="7CFF80B6">
      <w:pPr>
        <w:widowControl/>
        <w:spacing w:line="240" w:lineRule="auto"/>
        <w:ind w:firstLine="360"/>
        <w:jc w:val="left"/>
        <w:rPr>
          <w:rFonts w:hint="eastAsia" w:ascii="仿宋" w:hAnsi="仿宋" w:eastAsia="仿宋" w:cs="仿宋"/>
          <w:kern w:val="0"/>
          <w:sz w:val="24"/>
        </w:rPr>
      </w:pPr>
      <w:r>
        <w:rPr>
          <w:rFonts w:hint="eastAsia" w:ascii="仿宋" w:hAnsi="仿宋" w:eastAsia="仿宋" w:cs="仿宋"/>
          <w:kern w:val="0"/>
          <w:sz w:val="24"/>
        </w:rPr>
        <w:t>（二）估值对象</w:t>
      </w:r>
    </w:p>
    <w:p w14:paraId="5DCDC8C8">
      <w:pPr>
        <w:widowControl/>
        <w:spacing w:line="240" w:lineRule="auto"/>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14:paraId="4E3C4482">
      <w:pPr>
        <w:widowControl/>
        <w:numPr>
          <w:ilvl w:val="0"/>
          <w:numId w:val="4"/>
        </w:numPr>
        <w:spacing w:line="240" w:lineRule="auto"/>
        <w:jc w:val="left"/>
        <w:rPr>
          <w:rFonts w:hint="eastAsia" w:ascii="仿宋" w:hAnsi="仿宋" w:eastAsia="仿宋" w:cs="仿宋"/>
          <w:kern w:val="0"/>
          <w:sz w:val="24"/>
        </w:rPr>
      </w:pPr>
      <w:r>
        <w:rPr>
          <w:rFonts w:hint="eastAsia" w:ascii="仿宋" w:hAnsi="仿宋" w:eastAsia="仿宋" w:cs="仿宋"/>
          <w:kern w:val="0"/>
          <w:sz w:val="24"/>
        </w:rPr>
        <w:t>估值方法</w:t>
      </w:r>
    </w:p>
    <w:p w14:paraId="53EB892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14:paraId="06612FF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14:paraId="03FDA9E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14:paraId="380119D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14:paraId="5B3EC56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14:paraId="690CC5D7">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14:paraId="2DDE24B0">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14:paraId="482D2282">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14:paraId="0BADF503">
      <w:pPr>
        <w:widowControl/>
        <w:spacing w:line="240" w:lineRule="auto"/>
        <w:ind w:firstLine="480" w:firstLineChars="200"/>
        <w:jc w:val="left"/>
        <w:rPr>
          <w:rFonts w:hint="eastAsia" w:ascii="仿宋" w:hAnsi="仿宋" w:eastAsia="仿宋" w:cs="仿宋"/>
          <w:b/>
          <w:bCs/>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14:paraId="34B414DC">
      <w:pPr>
        <w:widowControl/>
        <w:spacing w:line="24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14:paraId="021CF8F8">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14:paraId="18D95D73">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14:paraId="40853442">
      <w:pPr>
        <w:widowControl/>
        <w:spacing w:line="240" w:lineRule="auto"/>
        <w:ind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14:paraId="36CB5B60">
      <w:pPr>
        <w:widowControl/>
        <w:spacing w:line="240" w:lineRule="auto"/>
        <w:rPr>
          <w:rFonts w:hint="eastAsia" w:ascii="仿宋" w:hAnsi="仿宋" w:eastAsia="仿宋" w:cs="仿宋"/>
          <w:kern w:val="0"/>
          <w:sz w:val="24"/>
        </w:rPr>
      </w:pPr>
      <w:r>
        <w:rPr>
          <w:rFonts w:hint="eastAsia" w:ascii="仿宋" w:hAnsi="仿宋" w:eastAsia="仿宋" w:cs="仿宋"/>
          <w:b/>
          <w:bCs/>
          <w:kern w:val="0"/>
          <w:sz w:val="24"/>
        </w:rPr>
        <w:t xml:space="preserve">    七、理财产品信息披露</w:t>
      </w:r>
    </w:p>
    <w:p w14:paraId="14B6924A">
      <w:pPr>
        <w:widowControl/>
        <w:spacing w:line="240" w:lineRule="auto"/>
        <w:ind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1、本行于每周三通过长沙农商银行网站（www.crcbbank.com）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w:t>
      </w:r>
      <w:r>
        <w:rPr>
          <w:rFonts w:hint="eastAsia" w:ascii="仿宋" w:hAnsi="仿宋" w:eastAsia="仿宋" w:cs="仿宋"/>
          <w:kern w:val="0"/>
          <w:sz w:val="24"/>
          <w:lang w:val="en-US" w:eastAsia="zh-CN"/>
        </w:rPr>
        <w:t>上周最后一个法定工作日</w:t>
      </w:r>
      <w:r>
        <w:rPr>
          <w:rFonts w:hint="eastAsia" w:ascii="仿宋" w:hAnsi="仿宋" w:eastAsia="仿宋" w:cs="仿宋"/>
          <w:kern w:val="0"/>
          <w:sz w:val="24"/>
        </w:rPr>
        <w:t>单位净值，如周三为非工作日，则顺延至下一工作日。</w:t>
      </w:r>
    </w:p>
    <w:p w14:paraId="5086B384">
      <w:pPr>
        <w:widowControl/>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p>
    <w:p w14:paraId="62061351">
      <w:pPr>
        <w:widowControl/>
        <w:spacing w:line="24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14:paraId="7699B6C1">
      <w:pPr>
        <w:keepNext w:val="0"/>
        <w:keepLines w:val="0"/>
        <w:pageBreakBefore w:val="0"/>
        <w:widowControl/>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14:paraId="338F0801">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14:paraId="669EB697">
      <w:pPr>
        <w:widowControl/>
        <w:spacing w:line="24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14:paraId="29E1092B">
      <w:pPr>
        <w:widowControl/>
        <w:spacing w:line="240" w:lineRule="auto"/>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b/>
          <w:bCs/>
          <w:kern w:val="0"/>
          <w:sz w:val="24"/>
        </w:rPr>
        <w:t xml:space="preserve"> </w:t>
      </w: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14:paraId="655EC298">
      <w:pPr>
        <w:widowControl/>
        <w:spacing w:line="240" w:lineRule="auto"/>
        <w:rPr>
          <w:rFonts w:hint="eastAsia" w:ascii="仿宋" w:hAnsi="仿宋" w:eastAsia="仿宋" w:cs="仿宋"/>
          <w:kern w:val="0"/>
          <w:sz w:val="24"/>
        </w:rPr>
      </w:pPr>
      <w:r>
        <w:rPr>
          <w:rFonts w:hint="eastAsia" w:ascii="仿宋" w:hAnsi="仿宋" w:eastAsia="仿宋" w:cs="仿宋"/>
          <w:kern w:val="0"/>
          <w:sz w:val="24"/>
        </w:rPr>
        <w:t>    1、本理财产品说明书中示例均采用假设</w:t>
      </w:r>
      <w:r>
        <w:rPr>
          <w:rFonts w:hint="eastAsia" w:ascii="仿宋" w:hAnsi="仿宋" w:eastAsia="仿宋" w:cs="仿宋"/>
          <w:color w:val="333333"/>
          <w:kern w:val="0"/>
          <w:sz w:val="24"/>
        </w:rPr>
        <w:t xml:space="preserve">数据，并不代表投资者实际可获得的收益。 </w:t>
      </w:r>
    </w:p>
    <w:p w14:paraId="46443A0A">
      <w:pPr>
        <w:widowControl/>
        <w:spacing w:line="240" w:lineRule="auto"/>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14:paraId="0B181C06">
      <w:pPr>
        <w:widowControl/>
        <w:spacing w:line="240" w:lineRule="auto"/>
        <w:ind w:firstLine="480" w:firstLineChars="200"/>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p w14:paraId="47B7C1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ED89"/>
    <w:multiLevelType w:val="singleLevel"/>
    <w:tmpl w:val="975CED89"/>
    <w:lvl w:ilvl="0" w:tentative="0">
      <w:start w:val="3"/>
      <w:numFmt w:val="chineseCounting"/>
      <w:suff w:val="nothing"/>
      <w:lvlText w:val="（%1）"/>
      <w:lvlJc w:val="left"/>
      <w:pPr>
        <w:ind w:left="350" w:firstLine="0"/>
      </w:pPr>
      <w:rPr>
        <w:rFonts w:hint="eastAsia"/>
      </w:rPr>
    </w:lvl>
  </w:abstractNum>
  <w:abstractNum w:abstractNumId="1">
    <w:nsid w:val="0F80BE95"/>
    <w:multiLevelType w:val="singleLevel"/>
    <w:tmpl w:val="0F80BE95"/>
    <w:lvl w:ilvl="0" w:tentative="0">
      <w:start w:val="5"/>
      <w:numFmt w:val="chineseCounting"/>
      <w:suff w:val="nothing"/>
      <w:lvlText w:val="（%1）"/>
      <w:lvlJc w:val="left"/>
      <w:rPr>
        <w:rFonts w:hint="eastAsia"/>
      </w:rPr>
    </w:lvl>
  </w:abstractNum>
  <w:abstractNum w:abstractNumId="2">
    <w:nsid w:val="2BB8923A"/>
    <w:multiLevelType w:val="singleLevel"/>
    <w:tmpl w:val="2BB8923A"/>
    <w:lvl w:ilvl="0" w:tentative="0">
      <w:start w:val="1"/>
      <w:numFmt w:val="decimal"/>
      <w:suff w:val="nothing"/>
      <w:lvlText w:val="%1、"/>
      <w:lvlJc w:val="left"/>
    </w:lvl>
  </w:abstractNum>
  <w:abstractNum w:abstractNumId="3">
    <w:nsid w:val="749E59DB"/>
    <w:multiLevelType w:val="singleLevel"/>
    <w:tmpl w:val="749E59DB"/>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76"/>
    <w:rsid w:val="000D3914"/>
    <w:rsid w:val="00424276"/>
    <w:rsid w:val="008C1FC7"/>
    <w:rsid w:val="00BE2066"/>
    <w:rsid w:val="00EA7B25"/>
    <w:rsid w:val="015B7B55"/>
    <w:rsid w:val="0292700F"/>
    <w:rsid w:val="0440153B"/>
    <w:rsid w:val="044576F1"/>
    <w:rsid w:val="04F05D3E"/>
    <w:rsid w:val="09004CD5"/>
    <w:rsid w:val="0A96167B"/>
    <w:rsid w:val="0C4F479F"/>
    <w:rsid w:val="0D7D4A5C"/>
    <w:rsid w:val="0EF30A30"/>
    <w:rsid w:val="0F057D56"/>
    <w:rsid w:val="104A6EE7"/>
    <w:rsid w:val="11037796"/>
    <w:rsid w:val="115B4A19"/>
    <w:rsid w:val="15132189"/>
    <w:rsid w:val="16AB251A"/>
    <w:rsid w:val="195464B6"/>
    <w:rsid w:val="1A750851"/>
    <w:rsid w:val="1AA17101"/>
    <w:rsid w:val="1E506CCC"/>
    <w:rsid w:val="1E725242"/>
    <w:rsid w:val="23867AB6"/>
    <w:rsid w:val="24E33061"/>
    <w:rsid w:val="2A0F7137"/>
    <w:rsid w:val="2B474FA2"/>
    <w:rsid w:val="2BAA4827"/>
    <w:rsid w:val="2D2C5140"/>
    <w:rsid w:val="30E63EA6"/>
    <w:rsid w:val="32856943"/>
    <w:rsid w:val="3692701B"/>
    <w:rsid w:val="36AE0F18"/>
    <w:rsid w:val="3B8555A0"/>
    <w:rsid w:val="3FA56505"/>
    <w:rsid w:val="49EE267F"/>
    <w:rsid w:val="4DE421FA"/>
    <w:rsid w:val="5CE61FE8"/>
    <w:rsid w:val="5F414182"/>
    <w:rsid w:val="5F45454F"/>
    <w:rsid w:val="65F11116"/>
    <w:rsid w:val="6B7C1256"/>
    <w:rsid w:val="75F46E8C"/>
    <w:rsid w:val="76D53A6D"/>
    <w:rsid w:val="793F442B"/>
    <w:rsid w:val="7C9663A9"/>
    <w:rsid w:val="7DBF4C29"/>
    <w:rsid w:val="7DCA067E"/>
    <w:rsid w:val="7FF70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Words>
  <Characters>309</Characters>
  <Lines>2</Lines>
  <Paragraphs>1</Paragraphs>
  <TotalTime>0</TotalTime>
  <ScaleCrop>false</ScaleCrop>
  <LinksUpToDate>false</LinksUpToDate>
  <CharactersWithSpaces>362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2022-01-12T01:06:00Z</dcterms:created>
  <dc:creator>Administrator</dc:creator>
  <cp:lastModifiedBy>LENOVO</cp:lastModifiedBy>
  <dcterms:modified xsi:type="dcterms:W3CDTF">2025-12-16T07:01:00Z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D978B6C22EFA4055A9D52B3E5F32552F</vt:lpwstr>
  </property>
</Properties>
</file>