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D89B8">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长沙农村商业银行股份有限公司福祥·金种子</w:t>
      </w:r>
    </w:p>
    <w:p w14:paraId="17097E60">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智盈年定开2号</w:t>
      </w:r>
      <w:r>
        <w:rPr>
          <w:rFonts w:hint="eastAsia" w:ascii="黑体" w:hAnsi="黑体" w:eastAsia="黑体" w:cs="黑体"/>
          <w:bCs/>
          <w:kern w:val="0"/>
          <w:sz w:val="32"/>
          <w:szCs w:val="32"/>
        </w:rPr>
        <w:t>理财产品说明书</w:t>
      </w:r>
    </w:p>
    <w:p w14:paraId="1AE2D104">
      <w:pPr>
        <w:spacing w:line="580" w:lineRule="exact"/>
        <w:textAlignment w:val="baseline"/>
        <w:rPr>
          <w:rFonts w:eastAsia="仿宋_GB2312"/>
          <w:kern w:val="0"/>
          <w:sz w:val="32"/>
          <w:szCs w:val="32"/>
        </w:rPr>
      </w:pPr>
    </w:p>
    <w:p w14:paraId="6B36CBE0">
      <w:pPr>
        <w:keepNext w:val="0"/>
        <w:keepLines w:val="0"/>
        <w:pageBreakBefore w:val="0"/>
        <w:kinsoku/>
        <w:wordWrap/>
        <w:overflowPunct/>
        <w:topLinePunct w:val="0"/>
        <w:autoSpaceDE/>
        <w:autoSpaceDN/>
        <w:bidi w:val="0"/>
        <w:adjustRightInd/>
        <w:snapToGrid/>
        <w:spacing w:line="240" w:lineRule="auto"/>
        <w:ind w:left="0"/>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14:paraId="5075DD12">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14:paraId="5EE51F20">
      <w:pPr>
        <w:keepNext w:val="0"/>
        <w:keepLines w:val="0"/>
        <w:pageBreakBefore w:val="0"/>
        <w:kinsoku/>
        <w:wordWrap/>
        <w:overflowPunct/>
        <w:topLinePunct w:val="0"/>
        <w:autoSpaceDE/>
        <w:autoSpaceDN/>
        <w:bidi w:val="0"/>
        <w:adjustRightInd/>
        <w:snapToGrid/>
        <w:spacing w:line="240" w:lineRule="auto"/>
        <w:ind w:left="0"/>
        <w:rPr>
          <w:rFonts w:hint="eastAsia" w:ascii="仿宋" w:hAnsi="仿宋" w:eastAsia="仿宋" w:cs="仿宋"/>
          <w:kern w:val="0"/>
          <w:sz w:val="24"/>
        </w:rPr>
      </w:pPr>
      <w:r>
        <w:rPr>
          <w:rFonts w:hint="eastAsia" w:ascii="仿宋" w:hAnsi="仿宋" w:eastAsia="仿宋" w:cs="仿宋"/>
          <w:b/>
          <w:bCs/>
          <w:kern w:val="0"/>
          <w:sz w:val="24"/>
        </w:rPr>
        <w:t xml:space="preserve">    一、重要须知</w:t>
      </w:r>
    </w:p>
    <w:p w14:paraId="2441B7B1">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14:paraId="6EF9CA01">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14:paraId="144F985C">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14:paraId="6E1D7FF1">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14:paraId="05BB22EF">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w:t>
      </w: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14:paraId="2B726E3D">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14:paraId="7A6EFBB7">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14:paraId="2BC7F1F3">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w:t>
      </w:r>
      <w:bookmarkStart w:id="0" w:name="_Hlk56522822"/>
      <w:r>
        <w:rPr>
          <w:rFonts w:hint="eastAsia" w:ascii="仿宋" w:hAnsi="仿宋" w:eastAsia="仿宋" w:cs="仿宋"/>
          <w:kern w:val="0"/>
          <w:sz w:val="24"/>
        </w:rPr>
        <w:t>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bookmarkEnd w:id="0"/>
    </w:p>
    <w:p w14:paraId="14927A38">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14:paraId="144D063B">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14:paraId="1A482E32">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14:paraId="75B38C0C">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 xml:space="preserve">       二、理财产品基本要素</w:t>
      </w:r>
    </w:p>
    <w:tbl>
      <w:tblPr>
        <w:tblStyle w:val="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3"/>
        <w:gridCol w:w="7072"/>
      </w:tblGrid>
      <w:tr w14:paraId="0FA6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823" w:type="dxa"/>
            <w:noWrap w:val="0"/>
            <w:tcMar>
              <w:top w:w="45" w:type="dxa"/>
              <w:left w:w="45" w:type="dxa"/>
              <w:bottom w:w="45" w:type="dxa"/>
              <w:right w:w="45" w:type="dxa"/>
            </w:tcMar>
            <w:vAlign w:val="top"/>
          </w:tcPr>
          <w:p w14:paraId="35A4F685">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072" w:type="dxa"/>
            <w:noWrap w:val="0"/>
            <w:tcMar>
              <w:top w:w="45" w:type="dxa"/>
              <w:left w:w="45" w:type="dxa"/>
              <w:bottom w:w="45" w:type="dxa"/>
              <w:right w:w="45" w:type="dxa"/>
            </w:tcMar>
            <w:vAlign w:val="center"/>
          </w:tcPr>
          <w:p w14:paraId="5477F9DB">
            <w:pPr>
              <w:keepNext w:val="0"/>
              <w:keepLines w:val="0"/>
              <w:pageBreakBefore w:val="0"/>
              <w:widowControl/>
              <w:kinsoku/>
              <w:wordWrap/>
              <w:overflowPunct/>
              <w:topLinePunct w:val="0"/>
              <w:autoSpaceDE/>
              <w:autoSpaceDN/>
              <w:bidi w:val="0"/>
              <w:adjustRightInd/>
              <w:snapToGrid/>
              <w:spacing w:line="240" w:lineRule="auto"/>
              <w:ind w:left="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智盈年定开2号</w:t>
            </w:r>
            <w:r>
              <w:rPr>
                <w:rFonts w:hint="eastAsia" w:ascii="仿宋" w:hAnsi="仿宋" w:eastAsia="仿宋" w:cs="仿宋"/>
                <w:kern w:val="0"/>
                <w:sz w:val="24"/>
              </w:rPr>
              <w:t>理财产品</w:t>
            </w:r>
          </w:p>
        </w:tc>
      </w:tr>
      <w:tr w14:paraId="28B3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823" w:type="dxa"/>
            <w:noWrap w:val="0"/>
            <w:tcMar>
              <w:top w:w="45" w:type="dxa"/>
              <w:left w:w="45" w:type="dxa"/>
              <w:bottom w:w="45" w:type="dxa"/>
              <w:right w:w="45" w:type="dxa"/>
            </w:tcMar>
            <w:vAlign w:val="top"/>
          </w:tcPr>
          <w:p w14:paraId="0FB12A7A">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072" w:type="dxa"/>
            <w:noWrap w:val="0"/>
            <w:tcMar>
              <w:top w:w="45" w:type="dxa"/>
              <w:left w:w="45" w:type="dxa"/>
              <w:bottom w:w="45" w:type="dxa"/>
              <w:right w:w="45" w:type="dxa"/>
            </w:tcMar>
            <w:vAlign w:val="top"/>
          </w:tcPr>
          <w:p w14:paraId="1896F6CF">
            <w:pPr>
              <w:keepNext w:val="0"/>
              <w:keepLines w:val="0"/>
              <w:pageBreakBefore w:val="0"/>
              <w:widowControl/>
              <w:kinsoku/>
              <w:wordWrap/>
              <w:overflowPunct/>
              <w:topLinePunct w:val="0"/>
              <w:autoSpaceDE/>
              <w:autoSpaceDN/>
              <w:bidi w:val="0"/>
              <w:adjustRightInd/>
              <w:snapToGrid/>
              <w:spacing w:line="240" w:lineRule="auto"/>
              <w:ind w:left="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21012</w:t>
            </w:r>
          </w:p>
        </w:tc>
      </w:tr>
      <w:tr w14:paraId="3EAE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823" w:type="dxa"/>
            <w:noWrap w:val="0"/>
            <w:tcMar>
              <w:top w:w="45" w:type="dxa"/>
              <w:left w:w="45" w:type="dxa"/>
              <w:bottom w:w="45" w:type="dxa"/>
              <w:right w:w="45" w:type="dxa"/>
            </w:tcMar>
            <w:vAlign w:val="top"/>
          </w:tcPr>
          <w:p w14:paraId="110BBDBD">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理财登记系统编码</w:t>
            </w:r>
          </w:p>
        </w:tc>
        <w:tc>
          <w:tcPr>
            <w:tcW w:w="7072" w:type="dxa"/>
            <w:noWrap w:val="0"/>
            <w:tcMar>
              <w:top w:w="45" w:type="dxa"/>
              <w:left w:w="45" w:type="dxa"/>
              <w:bottom w:w="45" w:type="dxa"/>
              <w:right w:w="45" w:type="dxa"/>
            </w:tcMar>
            <w:vAlign w:val="top"/>
          </w:tcPr>
          <w:p w14:paraId="1F30D91D">
            <w:pPr>
              <w:keepNext w:val="0"/>
              <w:keepLines w:val="0"/>
              <w:pageBreakBefore w:val="0"/>
              <w:widowControl/>
              <w:shd w:val="clear" w:color="auto" w:fill="FFFFFF"/>
              <w:kinsoku/>
              <w:wordWrap/>
              <w:overflowPunct/>
              <w:topLinePunct w:val="0"/>
              <w:autoSpaceDE/>
              <w:autoSpaceDN/>
              <w:bidi w:val="0"/>
              <w:adjustRightInd/>
              <w:snapToGrid/>
              <w:spacing w:line="240" w:lineRule="auto"/>
              <w:ind w:left="0"/>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C1113221000008</w:t>
            </w:r>
            <w:r>
              <w:rPr>
                <w:rFonts w:hint="eastAsia" w:ascii="仿宋" w:hAnsi="仿宋" w:eastAsia="仿宋" w:cs="仿宋"/>
                <w:color w:val="333333"/>
                <w:kern w:val="0"/>
                <w:sz w:val="24"/>
              </w:rPr>
              <w:t>投资者可依据该编码在"中国理财网（www.chinawealth.com.cn）"查询产品信息</w:t>
            </w:r>
          </w:p>
        </w:tc>
      </w:tr>
      <w:tr w14:paraId="1B0B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823" w:type="dxa"/>
            <w:noWrap w:val="0"/>
            <w:tcMar>
              <w:top w:w="45" w:type="dxa"/>
              <w:left w:w="45" w:type="dxa"/>
              <w:bottom w:w="45" w:type="dxa"/>
              <w:right w:w="45" w:type="dxa"/>
            </w:tcMar>
            <w:vAlign w:val="top"/>
          </w:tcPr>
          <w:p w14:paraId="2B6ECDC3">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072" w:type="dxa"/>
            <w:noWrap w:val="0"/>
            <w:tcMar>
              <w:top w:w="45" w:type="dxa"/>
              <w:left w:w="45" w:type="dxa"/>
              <w:bottom w:w="45" w:type="dxa"/>
              <w:right w:w="45" w:type="dxa"/>
            </w:tcMar>
            <w:vAlign w:val="top"/>
          </w:tcPr>
          <w:p w14:paraId="472E8056">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14:paraId="4E36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823" w:type="dxa"/>
            <w:noWrap w:val="0"/>
            <w:tcMar>
              <w:top w:w="45" w:type="dxa"/>
              <w:left w:w="45" w:type="dxa"/>
              <w:bottom w:w="45" w:type="dxa"/>
              <w:right w:w="45" w:type="dxa"/>
            </w:tcMar>
            <w:vAlign w:val="top"/>
          </w:tcPr>
          <w:p w14:paraId="59C5E97E">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072" w:type="dxa"/>
            <w:noWrap w:val="0"/>
            <w:tcMar>
              <w:top w:w="45" w:type="dxa"/>
              <w:left w:w="45" w:type="dxa"/>
              <w:bottom w:w="45" w:type="dxa"/>
              <w:right w:w="45" w:type="dxa"/>
            </w:tcMar>
            <w:vAlign w:val="top"/>
          </w:tcPr>
          <w:p w14:paraId="02456340">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333333"/>
                <w:kern w:val="0"/>
                <w:sz w:val="24"/>
              </w:rPr>
              <w:t>固定收益类公募产品、定期开放式产品</w:t>
            </w:r>
          </w:p>
        </w:tc>
      </w:tr>
      <w:tr w14:paraId="6535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823" w:type="dxa"/>
            <w:noWrap w:val="0"/>
            <w:tcMar>
              <w:top w:w="45" w:type="dxa"/>
              <w:left w:w="45" w:type="dxa"/>
              <w:bottom w:w="45" w:type="dxa"/>
              <w:right w:w="45" w:type="dxa"/>
            </w:tcMar>
            <w:vAlign w:val="top"/>
          </w:tcPr>
          <w:p w14:paraId="6A10E500">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072" w:type="dxa"/>
            <w:noWrap w:val="0"/>
            <w:tcMar>
              <w:top w:w="45" w:type="dxa"/>
              <w:left w:w="45" w:type="dxa"/>
              <w:bottom w:w="45" w:type="dxa"/>
              <w:right w:w="45" w:type="dxa"/>
            </w:tcMar>
            <w:vAlign w:val="top"/>
          </w:tcPr>
          <w:p w14:paraId="5C4DB941">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14:paraId="13E2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823" w:type="dxa"/>
            <w:noWrap w:val="0"/>
            <w:tcMar>
              <w:top w:w="45" w:type="dxa"/>
              <w:left w:w="45" w:type="dxa"/>
              <w:bottom w:w="45" w:type="dxa"/>
              <w:right w:w="45" w:type="dxa"/>
            </w:tcMar>
            <w:vAlign w:val="top"/>
          </w:tcPr>
          <w:p w14:paraId="399DAC84">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072" w:type="dxa"/>
            <w:noWrap w:val="0"/>
            <w:tcMar>
              <w:top w:w="45" w:type="dxa"/>
              <w:left w:w="45" w:type="dxa"/>
              <w:bottom w:w="45" w:type="dxa"/>
              <w:right w:w="45" w:type="dxa"/>
            </w:tcMar>
            <w:vAlign w:val="top"/>
          </w:tcPr>
          <w:p w14:paraId="607E63EF">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14:paraId="7791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823" w:type="dxa"/>
            <w:noWrap w:val="0"/>
            <w:tcMar>
              <w:top w:w="45" w:type="dxa"/>
              <w:left w:w="45" w:type="dxa"/>
              <w:bottom w:w="45" w:type="dxa"/>
              <w:right w:w="45" w:type="dxa"/>
            </w:tcMar>
            <w:vAlign w:val="top"/>
          </w:tcPr>
          <w:p w14:paraId="35C18FDA">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072" w:type="dxa"/>
            <w:noWrap w:val="0"/>
            <w:tcMar>
              <w:top w:w="45" w:type="dxa"/>
              <w:left w:w="45" w:type="dxa"/>
              <w:bottom w:w="45" w:type="dxa"/>
              <w:right w:w="45" w:type="dxa"/>
            </w:tcMar>
            <w:vAlign w:val="top"/>
          </w:tcPr>
          <w:p w14:paraId="0E4AB11F">
            <w:pPr>
              <w:keepNext w:val="0"/>
              <w:keepLines w:val="0"/>
              <w:pageBreakBefore w:val="0"/>
              <w:widowControl/>
              <w:kinsoku/>
              <w:wordWrap/>
              <w:overflowPunct/>
              <w:topLinePunct w:val="0"/>
              <w:autoSpaceDE/>
              <w:autoSpaceDN/>
              <w:bidi w:val="0"/>
              <w:adjustRightInd/>
              <w:snapToGrid/>
              <w:spacing w:line="240" w:lineRule="auto"/>
              <w:ind w:left="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14:paraId="65CA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823" w:type="dxa"/>
            <w:noWrap w:val="0"/>
            <w:tcMar>
              <w:top w:w="45" w:type="dxa"/>
              <w:left w:w="45" w:type="dxa"/>
              <w:bottom w:w="45" w:type="dxa"/>
              <w:right w:w="45" w:type="dxa"/>
            </w:tcMar>
            <w:vAlign w:val="top"/>
          </w:tcPr>
          <w:p w14:paraId="5156987C">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072" w:type="dxa"/>
            <w:noWrap w:val="0"/>
            <w:tcMar>
              <w:top w:w="45" w:type="dxa"/>
              <w:left w:w="45" w:type="dxa"/>
              <w:bottom w:w="45" w:type="dxa"/>
              <w:right w:w="45" w:type="dxa"/>
            </w:tcMar>
            <w:vAlign w:val="top"/>
          </w:tcPr>
          <w:p w14:paraId="01B1DC46">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14:paraId="5416231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14:paraId="295F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823" w:type="dxa"/>
            <w:noWrap w:val="0"/>
            <w:tcMar>
              <w:top w:w="45" w:type="dxa"/>
              <w:left w:w="45" w:type="dxa"/>
              <w:bottom w:w="45" w:type="dxa"/>
              <w:right w:w="45" w:type="dxa"/>
            </w:tcMar>
            <w:vAlign w:val="top"/>
          </w:tcPr>
          <w:p w14:paraId="4C096C39">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072" w:type="dxa"/>
            <w:noWrap w:val="0"/>
            <w:tcMar>
              <w:top w:w="45" w:type="dxa"/>
              <w:left w:w="45" w:type="dxa"/>
              <w:bottom w:w="45" w:type="dxa"/>
              <w:right w:w="45" w:type="dxa"/>
            </w:tcMar>
            <w:vAlign w:val="top"/>
          </w:tcPr>
          <w:p w14:paraId="45B08756">
            <w:pPr>
              <w:keepNext w:val="0"/>
              <w:keepLines w:val="0"/>
              <w:pageBreakBefore w:val="0"/>
              <w:widowControl/>
              <w:kinsoku/>
              <w:wordWrap/>
              <w:overflowPunct/>
              <w:topLinePunct w:val="0"/>
              <w:autoSpaceDE/>
              <w:autoSpaceDN/>
              <w:bidi w:val="0"/>
              <w:adjustRightInd/>
              <w:snapToGrid/>
              <w:spacing w:line="240" w:lineRule="auto"/>
              <w:ind w:left="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14:paraId="1D47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23" w:type="dxa"/>
            <w:noWrap w:val="0"/>
            <w:tcMar>
              <w:top w:w="45" w:type="dxa"/>
              <w:left w:w="45" w:type="dxa"/>
              <w:bottom w:w="45" w:type="dxa"/>
              <w:right w:w="45" w:type="dxa"/>
            </w:tcMar>
            <w:vAlign w:val="top"/>
          </w:tcPr>
          <w:p w14:paraId="33B0D152">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072" w:type="dxa"/>
            <w:noWrap w:val="0"/>
            <w:tcMar>
              <w:top w:w="45" w:type="dxa"/>
              <w:left w:w="45" w:type="dxa"/>
              <w:bottom w:w="45" w:type="dxa"/>
              <w:right w:w="45" w:type="dxa"/>
            </w:tcMar>
            <w:vAlign w:val="top"/>
          </w:tcPr>
          <w:p w14:paraId="0BE7AE94">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14:paraId="66D7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58F112A2">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072" w:type="dxa"/>
            <w:noWrap w:val="0"/>
            <w:tcMar>
              <w:top w:w="45" w:type="dxa"/>
              <w:left w:w="45" w:type="dxa"/>
              <w:bottom w:w="45" w:type="dxa"/>
              <w:right w:w="45" w:type="dxa"/>
            </w:tcMar>
            <w:vAlign w:val="top"/>
          </w:tcPr>
          <w:p w14:paraId="07AADD00">
            <w:pPr>
              <w:keepNext w:val="0"/>
              <w:keepLines w:val="0"/>
              <w:pageBreakBefore w:val="0"/>
              <w:widowControl/>
              <w:kinsoku/>
              <w:wordWrap/>
              <w:overflowPunct/>
              <w:topLinePunct w:val="0"/>
              <w:autoSpaceDE/>
              <w:autoSpaceDN/>
              <w:bidi w:val="0"/>
              <w:adjustRightInd/>
              <w:snapToGrid/>
              <w:spacing w:line="240" w:lineRule="auto"/>
              <w:ind w:left="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14:paraId="4D7E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6E6B65C0">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072" w:type="dxa"/>
            <w:noWrap w:val="0"/>
            <w:tcMar>
              <w:top w:w="45" w:type="dxa"/>
              <w:left w:w="45" w:type="dxa"/>
              <w:bottom w:w="45" w:type="dxa"/>
              <w:right w:w="45" w:type="dxa"/>
            </w:tcMar>
            <w:vAlign w:val="top"/>
          </w:tcPr>
          <w:p w14:paraId="11505B53">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10</w:t>
            </w:r>
            <w:r>
              <w:rPr>
                <w:rFonts w:hint="eastAsia" w:ascii="仿宋" w:hAnsi="仿宋" w:eastAsia="仿宋" w:cs="仿宋"/>
                <w:kern w:val="0"/>
                <w:sz w:val="24"/>
              </w:rPr>
              <w:t>月</w:t>
            </w:r>
            <w:r>
              <w:rPr>
                <w:rFonts w:hint="eastAsia" w:ascii="仿宋" w:hAnsi="仿宋" w:eastAsia="仿宋" w:cs="仿宋"/>
                <w:kern w:val="0"/>
                <w:sz w:val="24"/>
                <w:lang w:val="en-US" w:eastAsia="zh-CN"/>
              </w:rPr>
              <w:t>18</w:t>
            </w:r>
            <w:r>
              <w:rPr>
                <w:rFonts w:hint="eastAsia" w:ascii="仿宋" w:hAnsi="仿宋" w:eastAsia="仿宋" w:cs="仿宋"/>
                <w:kern w:val="0"/>
                <w:sz w:val="24"/>
              </w:rPr>
              <w:t>日</w:t>
            </w:r>
            <w:r>
              <w:rPr>
                <w:rFonts w:hint="eastAsia" w:ascii="仿宋" w:hAnsi="仿宋" w:eastAsia="仿宋" w:cs="仿宋"/>
                <w:kern w:val="0"/>
                <w:sz w:val="24"/>
                <w:lang w:val="en-US" w:eastAsia="zh-CN"/>
              </w:rPr>
              <w:t>8</w:t>
            </w:r>
            <w:r>
              <w:rPr>
                <w:rFonts w:hint="eastAsia" w:ascii="仿宋" w:hAnsi="仿宋" w:eastAsia="仿宋" w:cs="仿宋"/>
                <w:kern w:val="0"/>
                <w:sz w:val="24"/>
              </w:rPr>
              <w:t>:00至202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10</w:t>
            </w:r>
            <w:r>
              <w:rPr>
                <w:rFonts w:hint="eastAsia" w:ascii="仿宋" w:hAnsi="仿宋" w:eastAsia="仿宋" w:cs="仿宋"/>
                <w:kern w:val="0"/>
                <w:sz w:val="24"/>
              </w:rPr>
              <w:t>月</w:t>
            </w:r>
            <w:r>
              <w:rPr>
                <w:rFonts w:hint="eastAsia" w:ascii="仿宋" w:hAnsi="仿宋" w:eastAsia="仿宋" w:cs="仿宋"/>
                <w:kern w:val="0"/>
                <w:sz w:val="24"/>
                <w:lang w:val="en-US" w:eastAsia="zh-CN"/>
              </w:rPr>
              <w:t>26</w:t>
            </w:r>
            <w:r>
              <w:rPr>
                <w:rFonts w:hint="eastAsia" w:ascii="仿宋" w:hAnsi="仿宋" w:eastAsia="仿宋" w:cs="仿宋"/>
                <w:kern w:val="0"/>
                <w:sz w:val="24"/>
              </w:rPr>
              <w:t>日17: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14:paraId="0883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823" w:type="dxa"/>
            <w:noWrap w:val="0"/>
            <w:tcMar>
              <w:top w:w="45" w:type="dxa"/>
              <w:left w:w="45" w:type="dxa"/>
              <w:bottom w:w="45" w:type="dxa"/>
              <w:right w:w="45" w:type="dxa"/>
            </w:tcMar>
            <w:vAlign w:val="top"/>
          </w:tcPr>
          <w:p w14:paraId="4100B4C0">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072" w:type="dxa"/>
            <w:noWrap w:val="0"/>
            <w:tcMar>
              <w:top w:w="45" w:type="dxa"/>
              <w:left w:w="45" w:type="dxa"/>
              <w:bottom w:w="45" w:type="dxa"/>
              <w:right w:w="45" w:type="dxa"/>
            </w:tcMar>
            <w:vAlign w:val="top"/>
          </w:tcPr>
          <w:p w14:paraId="348666E8">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10</w:t>
            </w:r>
            <w:r>
              <w:rPr>
                <w:rFonts w:hint="eastAsia" w:ascii="仿宋" w:hAnsi="仿宋" w:eastAsia="仿宋" w:cs="仿宋"/>
                <w:kern w:val="0"/>
                <w:sz w:val="24"/>
              </w:rPr>
              <w:t>月</w:t>
            </w:r>
            <w:r>
              <w:rPr>
                <w:rFonts w:hint="eastAsia" w:ascii="仿宋" w:hAnsi="仿宋" w:eastAsia="仿宋" w:cs="仿宋"/>
                <w:kern w:val="0"/>
                <w:sz w:val="24"/>
                <w:lang w:val="en-US" w:eastAsia="zh-CN"/>
              </w:rPr>
              <w:t>27日</w:t>
            </w:r>
          </w:p>
        </w:tc>
      </w:tr>
      <w:tr w14:paraId="122E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823" w:type="dxa"/>
            <w:noWrap w:val="0"/>
            <w:tcMar>
              <w:top w:w="45" w:type="dxa"/>
              <w:left w:w="45" w:type="dxa"/>
              <w:bottom w:w="45" w:type="dxa"/>
              <w:right w:w="45" w:type="dxa"/>
            </w:tcMar>
            <w:vAlign w:val="top"/>
          </w:tcPr>
          <w:p w14:paraId="2C3352ED">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072" w:type="dxa"/>
            <w:noWrap w:val="0"/>
            <w:tcMar>
              <w:top w:w="45" w:type="dxa"/>
              <w:left w:w="45" w:type="dxa"/>
              <w:bottom w:w="45" w:type="dxa"/>
              <w:right w:w="45" w:type="dxa"/>
            </w:tcMar>
            <w:vAlign w:val="top"/>
          </w:tcPr>
          <w:p w14:paraId="2628B21E">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14:paraId="3F33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7DFCBA89">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072" w:type="dxa"/>
            <w:noWrap w:val="0"/>
            <w:tcMar>
              <w:top w:w="45" w:type="dxa"/>
              <w:left w:w="45" w:type="dxa"/>
              <w:bottom w:w="45" w:type="dxa"/>
              <w:right w:w="45" w:type="dxa"/>
            </w:tcMar>
            <w:vAlign w:val="top"/>
          </w:tcPr>
          <w:p w14:paraId="1F4793FB">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12个月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14:paraId="44D6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2757483D">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072" w:type="dxa"/>
            <w:noWrap w:val="0"/>
            <w:tcMar>
              <w:top w:w="45" w:type="dxa"/>
              <w:left w:w="45" w:type="dxa"/>
              <w:bottom w:w="45" w:type="dxa"/>
              <w:right w:w="45" w:type="dxa"/>
            </w:tcMar>
            <w:vAlign w:val="top"/>
          </w:tcPr>
          <w:p w14:paraId="2EE5AE91">
            <w:pPr>
              <w:keepNext w:val="0"/>
              <w:keepLines w:val="0"/>
              <w:pageBreakBefore w:val="0"/>
              <w:widowControl/>
              <w:kinsoku/>
              <w:wordWrap/>
              <w:overflowPunct/>
              <w:topLinePunct w:val="0"/>
              <w:autoSpaceDE/>
              <w:autoSpaceDN/>
              <w:bidi w:val="0"/>
              <w:adjustRightInd/>
              <w:snapToGrid/>
              <w:spacing w:line="240" w:lineRule="auto"/>
              <w:ind w:left="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本理财产品开放日为产品成立后</w:t>
            </w:r>
            <w:r>
              <w:rPr>
                <w:rFonts w:hint="eastAsia" w:ascii="仿宋" w:hAnsi="仿宋" w:eastAsia="仿宋" w:cs="仿宋"/>
                <w:kern w:val="0"/>
                <w:sz w:val="24"/>
                <w:highlight w:val="none"/>
                <w:u w:val="single"/>
                <w:lang w:val="en-US" w:eastAsia="zh-CN"/>
              </w:rPr>
              <w:t>每年10月27日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14:paraId="5020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70D3BD6C">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072" w:type="dxa"/>
            <w:noWrap w:val="0"/>
            <w:tcMar>
              <w:top w:w="45" w:type="dxa"/>
              <w:left w:w="45" w:type="dxa"/>
              <w:bottom w:w="45" w:type="dxa"/>
              <w:right w:w="45" w:type="dxa"/>
            </w:tcMar>
            <w:vAlign w:val="top"/>
          </w:tcPr>
          <w:p w14:paraId="4FBFFC6D">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14:paraId="4E08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5A2B2EF7">
            <w:pPr>
              <w:keepNext w:val="0"/>
              <w:keepLines w:val="0"/>
              <w:pageBreakBefore w:val="0"/>
              <w:widowControl/>
              <w:kinsoku/>
              <w:wordWrap/>
              <w:overflowPunct/>
              <w:topLinePunct w:val="0"/>
              <w:autoSpaceDE/>
              <w:autoSpaceDN/>
              <w:bidi w:val="0"/>
              <w:adjustRightInd/>
              <w:snapToGrid/>
              <w:spacing w:line="240" w:lineRule="auto"/>
              <w:ind w:left="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申购</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072" w:type="dxa"/>
            <w:noWrap w:val="0"/>
            <w:tcMar>
              <w:top w:w="45" w:type="dxa"/>
              <w:left w:w="45" w:type="dxa"/>
              <w:bottom w:w="45" w:type="dxa"/>
              <w:right w:w="45" w:type="dxa"/>
            </w:tcMar>
            <w:vAlign w:val="top"/>
          </w:tcPr>
          <w:p w14:paraId="43D2387B">
            <w:pPr>
              <w:keepNext w:val="0"/>
              <w:keepLines w:val="0"/>
              <w:pageBreakBefore w:val="0"/>
              <w:widowControl/>
              <w:kinsoku/>
              <w:wordWrap/>
              <w:overflowPunct/>
              <w:topLinePunct w:val="0"/>
              <w:autoSpaceDE/>
              <w:autoSpaceDN/>
              <w:bidi w:val="0"/>
              <w:adjustRightInd/>
              <w:snapToGrid/>
              <w:spacing w:line="240" w:lineRule="auto"/>
              <w:ind w:left="0"/>
              <w:jc w:val="left"/>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开放日前30天8:00至产品开放前</w:t>
            </w:r>
            <w:r>
              <w:rPr>
                <w:rFonts w:hint="eastAsia" w:ascii="仿宋" w:hAnsi="仿宋" w:eastAsia="仿宋" w:cs="仿宋"/>
                <w:color w:val="333333"/>
                <w:kern w:val="0"/>
                <w:sz w:val="24"/>
                <w:highlight w:val="none"/>
                <w:lang w:val="en-US" w:eastAsia="zh-CN"/>
              </w:rPr>
              <w:t>为申购及赎回期</w:t>
            </w:r>
            <w:r>
              <w:rPr>
                <w:rFonts w:hint="eastAsia" w:ascii="仿宋" w:hAnsi="仿宋" w:eastAsia="仿宋" w:cs="仿宋"/>
                <w:color w:val="333333"/>
                <w:kern w:val="0"/>
                <w:sz w:val="24"/>
                <w:highlight w:val="none"/>
              </w:rPr>
              <w:t>，可接受申购、赎回申请</w:t>
            </w:r>
            <w:r>
              <w:rPr>
                <w:rFonts w:hint="eastAsia" w:ascii="仿宋" w:hAnsi="仿宋" w:eastAsia="仿宋" w:cs="仿宋"/>
                <w:color w:val="333333"/>
                <w:kern w:val="0"/>
                <w:sz w:val="24"/>
                <w:highlight w:val="none"/>
                <w:lang w:val="en-US" w:eastAsia="zh-CN"/>
              </w:rPr>
              <w:t>及撤销</w:t>
            </w:r>
            <w:r>
              <w:rPr>
                <w:rFonts w:hint="eastAsia" w:ascii="仿宋" w:hAnsi="仿宋" w:eastAsia="仿宋" w:cs="仿宋"/>
                <w:color w:val="333333"/>
                <w:kern w:val="0"/>
                <w:sz w:val="24"/>
                <w:highlight w:val="none"/>
              </w:rPr>
              <w:t>。申购、赎回申请视同在开放日开放时间内的申购、赎回申请。</w:t>
            </w:r>
          </w:p>
        </w:tc>
      </w:tr>
      <w:tr w14:paraId="73EA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50F272C8">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072" w:type="dxa"/>
            <w:noWrap w:val="0"/>
            <w:tcMar>
              <w:top w:w="45" w:type="dxa"/>
              <w:left w:w="45" w:type="dxa"/>
              <w:bottom w:w="45" w:type="dxa"/>
              <w:right w:w="45" w:type="dxa"/>
            </w:tcMar>
            <w:vAlign w:val="top"/>
          </w:tcPr>
          <w:p w14:paraId="2CD9425A">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（T日）开放时间内进行申购</w:t>
            </w:r>
            <w:r>
              <w:rPr>
                <w:rFonts w:hint="eastAsia" w:ascii="仿宋" w:hAnsi="仿宋" w:eastAsia="仿宋" w:cs="仿宋"/>
                <w:kern w:val="0"/>
                <w:sz w:val="24"/>
                <w:lang w:val="en-US" w:eastAsia="zh-CN"/>
              </w:rPr>
              <w:t>申请</w:t>
            </w:r>
            <w:r>
              <w:rPr>
                <w:rFonts w:hint="eastAsia" w:ascii="仿宋" w:hAnsi="仿宋" w:eastAsia="仿宋" w:cs="仿宋"/>
                <w:kern w:val="0"/>
                <w:sz w:val="24"/>
              </w:rPr>
              <w:t>，</w:t>
            </w:r>
            <w:r>
              <w:rPr>
                <w:rFonts w:hint="eastAsia" w:ascii="仿宋" w:hAnsi="仿宋" w:eastAsia="仿宋" w:cs="仿宋"/>
                <w:kern w:val="0"/>
                <w:sz w:val="24"/>
                <w:lang w:val="en-US" w:eastAsia="zh-CN"/>
              </w:rPr>
              <w:t>下</w:t>
            </w:r>
            <w:r>
              <w:rPr>
                <w:rFonts w:hint="eastAsia" w:ascii="仿宋" w:hAnsi="仿宋" w:eastAsia="仿宋" w:cs="仿宋"/>
                <w:kern w:val="0"/>
                <w:sz w:val="24"/>
              </w:rPr>
              <w:t>一个工作日（T+1日）进行申购确认。申购确认日即为理财收益计算起始日。</w:t>
            </w:r>
          </w:p>
        </w:tc>
      </w:tr>
      <w:tr w14:paraId="3BD2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64FE8C55">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072" w:type="dxa"/>
            <w:noWrap w:val="0"/>
            <w:tcMar>
              <w:top w:w="45" w:type="dxa"/>
              <w:left w:w="45" w:type="dxa"/>
              <w:bottom w:w="45" w:type="dxa"/>
              <w:right w:w="45" w:type="dxa"/>
            </w:tcMar>
            <w:vAlign w:val="top"/>
          </w:tcPr>
          <w:p w14:paraId="583A4593">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14:paraId="7179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1B5019BA">
            <w:pPr>
              <w:keepNext w:val="0"/>
              <w:keepLines w:val="0"/>
              <w:pageBreakBefore w:val="0"/>
              <w:widowControl/>
              <w:kinsoku/>
              <w:wordWrap/>
              <w:overflowPunct/>
              <w:topLinePunct w:val="0"/>
              <w:autoSpaceDE/>
              <w:autoSpaceDN/>
              <w:bidi w:val="0"/>
              <w:adjustRightInd/>
              <w:snapToGrid/>
              <w:spacing w:line="240" w:lineRule="auto"/>
              <w:ind w:left="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申购金额规定</w:t>
            </w:r>
          </w:p>
        </w:tc>
        <w:tc>
          <w:tcPr>
            <w:tcW w:w="7072" w:type="dxa"/>
            <w:noWrap w:val="0"/>
            <w:tcMar>
              <w:top w:w="45" w:type="dxa"/>
              <w:left w:w="45" w:type="dxa"/>
              <w:bottom w:w="45" w:type="dxa"/>
              <w:right w:w="45" w:type="dxa"/>
            </w:tcMar>
            <w:vAlign w:val="top"/>
          </w:tcPr>
          <w:p w14:paraId="646849CE">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14:paraId="1969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2989F78D">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072" w:type="dxa"/>
            <w:noWrap w:val="0"/>
            <w:tcMar>
              <w:top w:w="45" w:type="dxa"/>
              <w:left w:w="45" w:type="dxa"/>
              <w:bottom w:w="45" w:type="dxa"/>
              <w:right w:w="45" w:type="dxa"/>
            </w:tcMar>
            <w:vAlign w:val="top"/>
          </w:tcPr>
          <w:p w14:paraId="1F22E04B">
            <w:pPr>
              <w:keepNext w:val="0"/>
              <w:keepLines w:val="0"/>
              <w:pageBreakBefore w:val="0"/>
              <w:widowControl/>
              <w:kinsoku/>
              <w:wordWrap/>
              <w:overflowPunct/>
              <w:topLinePunct w:val="0"/>
              <w:autoSpaceDE/>
              <w:autoSpaceDN/>
              <w:bidi w:val="0"/>
              <w:adjustRightInd/>
              <w:snapToGrid/>
              <w:spacing w:line="240" w:lineRule="auto"/>
              <w:ind w:left="0"/>
              <w:jc w:val="left"/>
              <w:rPr>
                <w:rFonts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（T日）开放时间内进行赎回</w:t>
            </w:r>
            <w:r>
              <w:rPr>
                <w:rFonts w:hint="eastAsia" w:ascii="仿宋" w:hAnsi="仿宋" w:eastAsia="仿宋" w:cs="仿宋"/>
                <w:kern w:val="0"/>
                <w:sz w:val="24"/>
                <w:lang w:val="en-US" w:eastAsia="zh-CN"/>
              </w:rPr>
              <w:t>申请</w:t>
            </w:r>
            <w:r>
              <w:rPr>
                <w:rFonts w:hint="eastAsia" w:ascii="仿宋" w:hAnsi="仿宋" w:eastAsia="仿宋" w:cs="仿宋"/>
                <w:kern w:val="0"/>
                <w:sz w:val="24"/>
              </w:rPr>
              <w:t>，</w:t>
            </w:r>
            <w:r>
              <w:rPr>
                <w:rFonts w:hint="eastAsia" w:ascii="仿宋" w:hAnsi="仿宋" w:eastAsia="仿宋" w:cs="仿宋"/>
                <w:kern w:val="0"/>
                <w:sz w:val="24"/>
                <w:lang w:val="en-US" w:eastAsia="zh-CN"/>
              </w:rPr>
              <w:t>下</w:t>
            </w:r>
            <w:r>
              <w:rPr>
                <w:rFonts w:hint="eastAsia" w:ascii="仿宋" w:hAnsi="仿宋" w:eastAsia="仿宋" w:cs="仿宋"/>
                <w:kern w:val="0"/>
                <w:sz w:val="24"/>
              </w:rPr>
              <w:t>一个工作日（T+1日）进行赎回确认，赎回资金于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14:paraId="6CB8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30DB3ABE">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072" w:type="dxa"/>
            <w:noWrap w:val="0"/>
            <w:tcMar>
              <w:top w:w="45" w:type="dxa"/>
              <w:left w:w="45" w:type="dxa"/>
              <w:bottom w:w="45" w:type="dxa"/>
              <w:right w:w="45" w:type="dxa"/>
            </w:tcMar>
            <w:vAlign w:val="top"/>
          </w:tcPr>
          <w:p w14:paraId="07521828">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14:paraId="6347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03A8C947">
            <w:pPr>
              <w:keepNext w:val="0"/>
              <w:keepLines w:val="0"/>
              <w:pageBreakBefore w:val="0"/>
              <w:widowControl/>
              <w:kinsoku/>
              <w:wordWrap/>
              <w:overflowPunct/>
              <w:topLinePunct w:val="0"/>
              <w:autoSpaceDE/>
              <w:autoSpaceDN/>
              <w:bidi w:val="0"/>
              <w:adjustRightInd/>
              <w:snapToGrid/>
              <w:spacing w:line="240" w:lineRule="auto"/>
              <w:ind w:left="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赎回份额规定</w:t>
            </w:r>
          </w:p>
        </w:tc>
        <w:tc>
          <w:tcPr>
            <w:tcW w:w="7072" w:type="dxa"/>
            <w:noWrap w:val="0"/>
            <w:tcMar>
              <w:top w:w="45" w:type="dxa"/>
              <w:left w:w="45" w:type="dxa"/>
              <w:bottom w:w="45" w:type="dxa"/>
              <w:right w:w="45" w:type="dxa"/>
            </w:tcMar>
            <w:vAlign w:val="top"/>
          </w:tcPr>
          <w:p w14:paraId="22ECFD74">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14:paraId="4F45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5A150239">
            <w:pPr>
              <w:keepNext w:val="0"/>
              <w:keepLines w:val="0"/>
              <w:pageBreakBefore w:val="0"/>
              <w:widowControl/>
              <w:kinsoku/>
              <w:wordWrap/>
              <w:overflowPunct/>
              <w:topLinePunct w:val="0"/>
              <w:autoSpaceDE/>
              <w:autoSpaceDN/>
              <w:bidi w:val="0"/>
              <w:adjustRightInd/>
              <w:snapToGrid/>
              <w:spacing w:line="240" w:lineRule="auto"/>
              <w:ind w:left="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072" w:type="dxa"/>
            <w:noWrap w:val="0"/>
            <w:tcMar>
              <w:top w:w="45" w:type="dxa"/>
              <w:left w:w="45" w:type="dxa"/>
              <w:bottom w:w="45" w:type="dxa"/>
              <w:right w:w="45" w:type="dxa"/>
            </w:tcMar>
            <w:vAlign w:val="top"/>
          </w:tcPr>
          <w:p w14:paraId="382A462B">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14:paraId="2F26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50BB02F6">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072" w:type="dxa"/>
            <w:noWrap w:val="0"/>
            <w:tcMar>
              <w:top w:w="45" w:type="dxa"/>
              <w:left w:w="45" w:type="dxa"/>
              <w:bottom w:w="45" w:type="dxa"/>
              <w:right w:w="45" w:type="dxa"/>
            </w:tcMar>
            <w:vAlign w:val="top"/>
          </w:tcPr>
          <w:p w14:paraId="6C334F2B">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14:paraId="2367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6A3B0364">
            <w:pPr>
              <w:keepNext w:val="0"/>
              <w:keepLines w:val="0"/>
              <w:pageBreakBefore w:val="0"/>
              <w:widowControl/>
              <w:kinsoku/>
              <w:wordWrap/>
              <w:overflowPunct/>
              <w:topLinePunct w:val="0"/>
              <w:autoSpaceDE/>
              <w:autoSpaceDN/>
              <w:bidi w:val="0"/>
              <w:adjustRightInd/>
              <w:snapToGrid/>
              <w:spacing w:line="240" w:lineRule="auto"/>
              <w:ind w:left="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072" w:type="dxa"/>
            <w:noWrap w:val="0"/>
            <w:tcMar>
              <w:top w:w="45" w:type="dxa"/>
              <w:left w:w="45" w:type="dxa"/>
              <w:bottom w:w="45" w:type="dxa"/>
              <w:right w:w="45" w:type="dxa"/>
            </w:tcMar>
            <w:vAlign w:val="top"/>
          </w:tcPr>
          <w:p w14:paraId="4E5F6967">
            <w:pPr>
              <w:keepNext w:val="0"/>
              <w:keepLines w:val="0"/>
              <w:pageBreakBefore w:val="0"/>
              <w:widowControl/>
              <w:kinsoku/>
              <w:wordWrap/>
              <w:overflowPunct/>
              <w:topLinePunct w:val="0"/>
              <w:autoSpaceDE/>
              <w:autoSpaceDN/>
              <w:bidi w:val="0"/>
              <w:adjustRightInd/>
              <w:snapToGrid/>
              <w:spacing w:line="240" w:lineRule="auto"/>
              <w:ind w:left="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14:paraId="7C51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3A521450">
            <w:pPr>
              <w:keepNext w:val="0"/>
              <w:keepLines w:val="0"/>
              <w:pageBreakBefore w:val="0"/>
              <w:widowControl/>
              <w:kinsoku/>
              <w:wordWrap/>
              <w:overflowPunct/>
              <w:topLinePunct w:val="0"/>
              <w:autoSpaceDE/>
              <w:autoSpaceDN/>
              <w:bidi w:val="0"/>
              <w:adjustRightInd/>
              <w:snapToGrid/>
              <w:spacing w:line="240" w:lineRule="auto"/>
              <w:ind w:left="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072" w:type="dxa"/>
            <w:noWrap w:val="0"/>
            <w:tcMar>
              <w:top w:w="45" w:type="dxa"/>
              <w:left w:w="45" w:type="dxa"/>
              <w:bottom w:w="45" w:type="dxa"/>
              <w:right w:w="45" w:type="dxa"/>
            </w:tcMar>
            <w:vAlign w:val="top"/>
          </w:tcPr>
          <w:p w14:paraId="70082F21">
            <w:pPr>
              <w:keepNext w:val="0"/>
              <w:keepLines w:val="0"/>
              <w:pageBreakBefore w:val="0"/>
              <w:widowControl/>
              <w:kinsoku/>
              <w:wordWrap/>
              <w:overflowPunct/>
              <w:topLinePunct w:val="0"/>
              <w:autoSpaceDE/>
              <w:autoSpaceDN/>
              <w:bidi w:val="0"/>
              <w:adjustRightInd/>
              <w:snapToGrid/>
              <w:spacing w:line="240" w:lineRule="auto"/>
              <w:ind w:left="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2000万元，超过持有限额的认购、申购，长沙农商银行均不予确认。</w:t>
            </w:r>
          </w:p>
        </w:tc>
      </w:tr>
      <w:tr w14:paraId="771D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23" w:type="dxa"/>
            <w:noWrap w:val="0"/>
            <w:tcMar>
              <w:top w:w="45" w:type="dxa"/>
              <w:left w:w="45" w:type="dxa"/>
              <w:bottom w:w="45" w:type="dxa"/>
              <w:right w:w="45" w:type="dxa"/>
            </w:tcMar>
            <w:vAlign w:val="top"/>
          </w:tcPr>
          <w:p w14:paraId="73BEAE79">
            <w:pPr>
              <w:keepNext w:val="0"/>
              <w:keepLines w:val="0"/>
              <w:pageBreakBefore w:val="0"/>
              <w:widowControl/>
              <w:kinsoku/>
              <w:wordWrap/>
              <w:overflowPunct/>
              <w:topLinePunct w:val="0"/>
              <w:autoSpaceDE/>
              <w:autoSpaceDN/>
              <w:bidi w:val="0"/>
              <w:adjustRightInd/>
              <w:snapToGrid/>
              <w:spacing w:line="240" w:lineRule="auto"/>
              <w:ind w:left="0"/>
              <w:rPr>
                <w:rFonts w:hint="eastAsia" w:ascii="仿宋" w:hAnsi="仿宋" w:eastAsia="仿宋" w:cs="仿宋"/>
                <w:kern w:val="0"/>
                <w:sz w:val="24"/>
              </w:rPr>
            </w:pPr>
            <w:r>
              <w:rPr>
                <w:rFonts w:hint="eastAsia" w:ascii="仿宋" w:hAnsi="仿宋" w:eastAsia="仿宋" w:cs="仿宋"/>
                <w:b/>
                <w:bCs/>
                <w:kern w:val="0"/>
                <w:sz w:val="24"/>
              </w:rPr>
              <w:t>产品净值</w:t>
            </w:r>
          </w:p>
        </w:tc>
        <w:tc>
          <w:tcPr>
            <w:tcW w:w="7072" w:type="dxa"/>
            <w:noWrap w:val="0"/>
            <w:tcMar>
              <w:top w:w="45" w:type="dxa"/>
              <w:left w:w="45" w:type="dxa"/>
              <w:bottom w:w="45" w:type="dxa"/>
              <w:right w:w="45" w:type="dxa"/>
            </w:tcMar>
            <w:vAlign w:val="top"/>
          </w:tcPr>
          <w:p w14:paraId="41B314F8">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后续开放日产品单位净值于T+1日通过长沙农商银行网站公布，开放日的申购和赎回均按该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14:paraId="2289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823" w:type="dxa"/>
            <w:noWrap w:val="0"/>
            <w:tcMar>
              <w:top w:w="45" w:type="dxa"/>
              <w:left w:w="45" w:type="dxa"/>
              <w:bottom w:w="45" w:type="dxa"/>
              <w:right w:w="45" w:type="dxa"/>
            </w:tcMar>
            <w:vAlign w:val="top"/>
          </w:tcPr>
          <w:p w14:paraId="2CFF34DF">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072" w:type="dxa"/>
            <w:noWrap w:val="0"/>
            <w:tcMar>
              <w:top w:w="45" w:type="dxa"/>
              <w:left w:w="45" w:type="dxa"/>
              <w:bottom w:w="45" w:type="dxa"/>
              <w:right w:w="45" w:type="dxa"/>
            </w:tcMar>
            <w:vAlign w:val="top"/>
          </w:tcPr>
          <w:p w14:paraId="0FDAABB9">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除开放日、申购及赎回期时间外，本产品投资者没有提前赎回权。</w:t>
            </w:r>
            <w:r>
              <w:rPr>
                <w:rFonts w:hint="eastAsia" w:ascii="仿宋" w:hAnsi="仿宋" w:eastAsia="仿宋" w:cs="仿宋"/>
                <w:b/>
                <w:bCs/>
                <w:color w:val="333333"/>
                <w:kern w:val="0"/>
                <w:sz w:val="24"/>
              </w:rPr>
              <w:t>（详见第三条第（六）款）</w:t>
            </w:r>
          </w:p>
        </w:tc>
      </w:tr>
      <w:tr w14:paraId="5DE8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823" w:type="dxa"/>
            <w:noWrap w:val="0"/>
            <w:tcMar>
              <w:top w:w="45" w:type="dxa"/>
              <w:left w:w="45" w:type="dxa"/>
              <w:bottom w:w="45" w:type="dxa"/>
              <w:right w:w="45" w:type="dxa"/>
            </w:tcMar>
            <w:vAlign w:val="center"/>
          </w:tcPr>
          <w:p w14:paraId="71D0220F">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072" w:type="dxa"/>
            <w:noWrap w:val="0"/>
            <w:tcMar>
              <w:top w:w="45" w:type="dxa"/>
              <w:left w:w="45" w:type="dxa"/>
              <w:bottom w:w="45" w:type="dxa"/>
              <w:right w:w="45" w:type="dxa"/>
            </w:tcMar>
            <w:vAlign w:val="center"/>
          </w:tcPr>
          <w:p w14:paraId="45F6B70C">
            <w:pPr>
              <w:keepNext w:val="0"/>
              <w:keepLines w:val="0"/>
              <w:pageBreakBefore w:val="0"/>
              <w:widowControl/>
              <w:kinsoku/>
              <w:wordWrap/>
              <w:overflowPunct/>
              <w:topLinePunct w:val="0"/>
              <w:autoSpaceDE/>
              <w:autoSpaceDN/>
              <w:bidi w:val="0"/>
              <w:adjustRightInd/>
              <w:snapToGrid/>
              <w:spacing w:line="240" w:lineRule="auto"/>
              <w:ind w:left="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14:paraId="0E89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1823" w:type="dxa"/>
            <w:noWrap w:val="0"/>
            <w:tcMar>
              <w:top w:w="45" w:type="dxa"/>
              <w:left w:w="45" w:type="dxa"/>
              <w:bottom w:w="45" w:type="dxa"/>
              <w:right w:w="45" w:type="dxa"/>
            </w:tcMar>
            <w:vAlign w:val="top"/>
          </w:tcPr>
          <w:p w14:paraId="7955300B">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072" w:type="dxa"/>
            <w:noWrap w:val="0"/>
            <w:tcMar>
              <w:top w:w="45" w:type="dxa"/>
              <w:left w:w="45" w:type="dxa"/>
              <w:bottom w:w="45" w:type="dxa"/>
              <w:right w:w="45" w:type="dxa"/>
            </w:tcMar>
            <w:vAlign w:val="top"/>
          </w:tcPr>
          <w:p w14:paraId="0FE2B84B">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新综合财富(1-3年)指数，以产品投资利率债等现金类资产0-10%，金融债和信用债0-90%，杠杆率0%为例，综合已知的市场利率水平测算出本产品投资周期(2025年10月28日-2026年10月27日）业绩比较基准</w:t>
            </w:r>
            <w:r>
              <w:rPr>
                <w:rFonts w:hint="eastAsia" w:ascii="仿宋" w:hAnsi="仿宋" w:eastAsia="仿宋" w:cs="仿宋"/>
                <w:kern w:val="0"/>
                <w:sz w:val="24"/>
              </w:rPr>
              <w:t>为</w:t>
            </w:r>
            <w:r>
              <w:rPr>
                <w:rFonts w:hint="eastAsia" w:ascii="仿宋" w:hAnsi="仿宋" w:eastAsia="仿宋" w:cs="仿宋"/>
                <w:color w:val="auto"/>
                <w:kern w:val="0"/>
                <w:sz w:val="24"/>
                <w:highlight w:val="none"/>
                <w:lang w:val="en-US" w:eastAsia="zh-CN"/>
              </w:rPr>
              <w:t>2.20</w:t>
            </w:r>
            <w:r>
              <w:rPr>
                <w:rFonts w:hint="eastAsia" w:ascii="仿宋" w:hAnsi="仿宋" w:eastAsia="仿宋" w:cs="仿宋"/>
                <w:color w:val="auto"/>
                <w:kern w:val="0"/>
                <w:sz w:val="24"/>
                <w:highlight w:val="none"/>
              </w:rPr>
              <w:t>%</w:t>
            </w:r>
            <w:r>
              <w:rPr>
                <w:rFonts w:hint="eastAsia" w:ascii="仿宋" w:hAnsi="仿宋" w:eastAsia="仿宋" w:cs="仿宋"/>
                <w:color w:val="333333"/>
                <w:kern w:val="0"/>
                <w:sz w:val="24"/>
              </w:rPr>
              <w:t>（年化）</w:t>
            </w:r>
            <w:r>
              <w:rPr>
                <w:rFonts w:hint="eastAsia" w:ascii="仿宋" w:hAnsi="仿宋" w:eastAsia="仿宋" w:cs="仿宋"/>
                <w:kern w:val="0"/>
                <w:sz w:val="24"/>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14:paraId="25A4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823" w:type="dxa"/>
            <w:noWrap w:val="0"/>
            <w:tcMar>
              <w:top w:w="45" w:type="dxa"/>
              <w:left w:w="45" w:type="dxa"/>
              <w:bottom w:w="45" w:type="dxa"/>
              <w:right w:w="45" w:type="dxa"/>
            </w:tcMar>
            <w:vAlign w:val="top"/>
          </w:tcPr>
          <w:p w14:paraId="5EDE9ACB">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072" w:type="dxa"/>
            <w:noWrap w:val="0"/>
            <w:tcMar>
              <w:top w:w="45" w:type="dxa"/>
              <w:left w:w="45" w:type="dxa"/>
              <w:bottom w:w="45" w:type="dxa"/>
              <w:right w:w="45" w:type="dxa"/>
            </w:tcMar>
            <w:vAlign w:val="top"/>
          </w:tcPr>
          <w:p w14:paraId="66BB5147">
            <w:pPr>
              <w:keepNext w:val="0"/>
              <w:keepLines w:val="0"/>
              <w:pageBreakBefore w:val="0"/>
              <w:widowControl/>
              <w:shd w:val="clear" w:color="auto" w:fill="FFFFFF"/>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14:paraId="7EF5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823" w:type="dxa"/>
            <w:noWrap w:val="0"/>
            <w:tcMar>
              <w:top w:w="45" w:type="dxa"/>
              <w:left w:w="45" w:type="dxa"/>
              <w:bottom w:w="45" w:type="dxa"/>
              <w:right w:w="45" w:type="dxa"/>
            </w:tcMar>
            <w:vAlign w:val="top"/>
          </w:tcPr>
          <w:p w14:paraId="564F9108">
            <w:pPr>
              <w:keepNext w:val="0"/>
              <w:keepLines w:val="0"/>
              <w:pageBreakBefore w:val="0"/>
              <w:widowControl/>
              <w:kinsoku/>
              <w:wordWrap/>
              <w:overflowPunct/>
              <w:topLinePunct w:val="0"/>
              <w:autoSpaceDE/>
              <w:autoSpaceDN/>
              <w:bidi w:val="0"/>
              <w:adjustRightInd/>
              <w:snapToGrid/>
              <w:spacing w:line="240" w:lineRule="auto"/>
              <w:ind w:left="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072" w:type="dxa"/>
            <w:noWrap w:val="0"/>
            <w:tcMar>
              <w:top w:w="45" w:type="dxa"/>
              <w:left w:w="45" w:type="dxa"/>
              <w:bottom w:w="45" w:type="dxa"/>
              <w:right w:w="45" w:type="dxa"/>
            </w:tcMar>
            <w:vAlign w:val="top"/>
          </w:tcPr>
          <w:p w14:paraId="23B96438">
            <w:pPr>
              <w:keepNext w:val="0"/>
              <w:keepLines w:val="0"/>
              <w:pageBreakBefore w:val="0"/>
              <w:widowControl/>
              <w:shd w:val="clear" w:color="auto" w:fill="FFFFFF"/>
              <w:kinsoku/>
              <w:wordWrap/>
              <w:overflowPunct/>
              <w:topLinePunct w:val="0"/>
              <w:autoSpaceDE/>
              <w:autoSpaceDN/>
              <w:bidi w:val="0"/>
              <w:adjustRightInd/>
              <w:snapToGrid/>
              <w:spacing w:line="240" w:lineRule="auto"/>
              <w:ind w:left="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14:paraId="2CB3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823" w:type="dxa"/>
            <w:noWrap w:val="0"/>
            <w:tcMar>
              <w:top w:w="45" w:type="dxa"/>
              <w:left w:w="45" w:type="dxa"/>
              <w:bottom w:w="45" w:type="dxa"/>
              <w:right w:w="45" w:type="dxa"/>
            </w:tcMar>
            <w:vAlign w:val="top"/>
          </w:tcPr>
          <w:p w14:paraId="3B187D13">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072" w:type="dxa"/>
            <w:noWrap w:val="0"/>
            <w:tcMar>
              <w:top w:w="45" w:type="dxa"/>
              <w:left w:w="45" w:type="dxa"/>
              <w:bottom w:w="45" w:type="dxa"/>
              <w:right w:w="45" w:type="dxa"/>
            </w:tcMar>
            <w:vAlign w:val="top"/>
          </w:tcPr>
          <w:p w14:paraId="4E1F24CD">
            <w:pPr>
              <w:keepNext w:val="0"/>
              <w:keepLines w:val="0"/>
              <w:pageBreakBefore w:val="0"/>
              <w:widowControl/>
              <w:shd w:val="clear" w:color="auto" w:fill="FFFFFF"/>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14:paraId="13156B69">
            <w:pPr>
              <w:keepNext w:val="0"/>
              <w:keepLines w:val="0"/>
              <w:pageBreakBefore w:val="0"/>
              <w:widowControl/>
              <w:shd w:val="clear" w:color="auto" w:fill="FFFFFF"/>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14:paraId="1457BED6">
            <w:pPr>
              <w:keepNext w:val="0"/>
              <w:keepLines w:val="0"/>
              <w:pageBreakBefore w:val="0"/>
              <w:widowControl/>
              <w:shd w:val="clear" w:color="auto" w:fill="FFFFFF"/>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14:paraId="5E06C200">
            <w:pPr>
              <w:keepNext w:val="0"/>
              <w:keepLines w:val="0"/>
              <w:pageBreakBefore w:val="0"/>
              <w:widowControl/>
              <w:shd w:val="clear" w:color="auto" w:fill="FFFFFF"/>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14:paraId="46E09F6E">
            <w:pPr>
              <w:keepNext w:val="0"/>
              <w:keepLines w:val="0"/>
              <w:pageBreakBefore w:val="0"/>
              <w:widowControl/>
              <w:shd w:val="clear" w:color="auto" w:fill="FFFFFF"/>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w:t>
            </w:r>
            <w:r>
              <w:rPr>
                <w:rFonts w:hint="eastAsia" w:ascii="仿宋" w:hAnsi="仿宋" w:eastAsia="仿宋" w:cs="仿宋"/>
                <w:color w:val="333333"/>
                <w:kern w:val="0"/>
                <w:sz w:val="24"/>
                <w:lang w:val="en-US" w:eastAsia="zh-CN"/>
              </w:rPr>
              <w:t>2</w:t>
            </w:r>
            <w:r>
              <w:rPr>
                <w:rFonts w:hint="eastAsia" w:ascii="仿宋" w:hAnsi="仿宋" w:eastAsia="仿宋" w:cs="仿宋"/>
                <w:color w:val="333333"/>
                <w:kern w:val="0"/>
                <w:sz w:val="24"/>
              </w:rPr>
              <w:t>%（年化）收取固定管理费，按日计提。</w:t>
            </w:r>
          </w:p>
          <w:p w14:paraId="0A09AF15">
            <w:pPr>
              <w:keepNext w:val="0"/>
              <w:keepLines w:val="0"/>
              <w:pageBreakBefore w:val="0"/>
              <w:widowControl/>
              <w:shd w:val="clear" w:color="auto" w:fill="FFFFFF"/>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color w:val="333333"/>
                <w:kern w:val="0"/>
                <w:sz w:val="24"/>
                <w:lang w:val="en-US" w:eastAsia="zh-CN"/>
              </w:rPr>
              <w:t>扣除托管费、估值费、固定管理费等税费后</w:t>
            </w:r>
            <w:r>
              <w:rPr>
                <w:rFonts w:hint="eastAsia" w:ascii="仿宋" w:hAnsi="仿宋" w:eastAsia="仿宋" w:cs="仿宋"/>
                <w:color w:val="333333"/>
                <w:kern w:val="0"/>
                <w:sz w:val="24"/>
              </w:rPr>
              <w:t>净值折算的该周期年化收益率高于业绩比较基准的部分，按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14:paraId="5CC47514">
            <w:pPr>
              <w:keepNext w:val="0"/>
              <w:keepLines w:val="0"/>
              <w:pageBreakBefore w:val="0"/>
              <w:widowControl/>
              <w:shd w:val="clear" w:color="auto" w:fill="FFFFFF"/>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14:paraId="3323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823" w:type="dxa"/>
            <w:noWrap w:val="0"/>
            <w:tcMar>
              <w:top w:w="45" w:type="dxa"/>
              <w:left w:w="45" w:type="dxa"/>
              <w:bottom w:w="45" w:type="dxa"/>
              <w:right w:w="45" w:type="dxa"/>
            </w:tcMar>
            <w:vAlign w:val="top"/>
          </w:tcPr>
          <w:p w14:paraId="02447248">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072" w:type="dxa"/>
            <w:noWrap w:val="0"/>
            <w:tcMar>
              <w:top w:w="45" w:type="dxa"/>
              <w:left w:w="45" w:type="dxa"/>
              <w:bottom w:w="45" w:type="dxa"/>
              <w:right w:w="45" w:type="dxa"/>
            </w:tcMar>
            <w:vAlign w:val="top"/>
          </w:tcPr>
          <w:p w14:paraId="4355FE70">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14:paraId="4F9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823" w:type="dxa"/>
            <w:noWrap w:val="0"/>
            <w:tcMar>
              <w:top w:w="45" w:type="dxa"/>
              <w:left w:w="45" w:type="dxa"/>
              <w:bottom w:w="45" w:type="dxa"/>
              <w:right w:w="45" w:type="dxa"/>
            </w:tcMar>
            <w:vAlign w:val="top"/>
          </w:tcPr>
          <w:p w14:paraId="5A773D2F">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072" w:type="dxa"/>
            <w:noWrap w:val="0"/>
            <w:tcMar>
              <w:top w:w="45" w:type="dxa"/>
              <w:left w:w="45" w:type="dxa"/>
              <w:bottom w:w="45" w:type="dxa"/>
              <w:right w:w="45" w:type="dxa"/>
            </w:tcMar>
            <w:vAlign w:val="top"/>
          </w:tcPr>
          <w:p w14:paraId="2B46E86C">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开放日及申购和赎回期</w:t>
            </w:r>
            <w:r>
              <w:rPr>
                <w:rFonts w:hint="eastAsia" w:ascii="仿宋" w:hAnsi="仿宋" w:eastAsia="仿宋" w:cs="仿宋"/>
                <w:color w:val="333333"/>
                <w:kern w:val="0"/>
                <w:sz w:val="24"/>
              </w:rPr>
              <w:t>内，个人投资者可在手机银行</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含长沙农商</w:t>
            </w:r>
            <w:bookmarkStart w:id="1" w:name="_GoBack"/>
            <w:bookmarkEnd w:id="1"/>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14:paraId="4B6D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823" w:type="dxa"/>
            <w:noWrap w:val="0"/>
            <w:tcMar>
              <w:top w:w="45" w:type="dxa"/>
              <w:left w:w="45" w:type="dxa"/>
              <w:bottom w:w="45" w:type="dxa"/>
              <w:right w:w="45" w:type="dxa"/>
            </w:tcMar>
            <w:vAlign w:val="top"/>
          </w:tcPr>
          <w:p w14:paraId="012360CC">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072" w:type="dxa"/>
            <w:noWrap w:val="0"/>
            <w:tcMar>
              <w:top w:w="45" w:type="dxa"/>
              <w:left w:w="45" w:type="dxa"/>
              <w:bottom w:w="45" w:type="dxa"/>
              <w:right w:w="45" w:type="dxa"/>
            </w:tcMar>
            <w:vAlign w:val="top"/>
          </w:tcPr>
          <w:p w14:paraId="55A92BB7">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14:paraId="1BDE5D16">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14:paraId="0292E8A8">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14:paraId="16759190">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14:paraId="2DC7C5FB">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及</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14:paraId="6A24AE7D">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及</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内，投资者可对已提交的申请进行撤销，须单笔全额撤销。</w:t>
            </w:r>
          </w:p>
        </w:tc>
      </w:tr>
    </w:tbl>
    <w:p w14:paraId="106D412A">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b/>
          <w:bCs/>
          <w:kern w:val="0"/>
          <w:sz w:val="24"/>
        </w:rPr>
        <w:t xml:space="preserve">    三、产品认购、申购、赎回方式</w:t>
      </w:r>
    </w:p>
    <w:p w14:paraId="4334D143">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color w:val="333333"/>
          <w:kern w:val="0"/>
          <w:sz w:val="24"/>
        </w:rPr>
        <w:t xml:space="preserve">    （一）本金及理财收益</w:t>
      </w:r>
    </w:p>
    <w:p w14:paraId="45F3512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14:paraId="2B52AE94">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14:paraId="059833B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14:paraId="0A35EFE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14:paraId="05E7DB76">
      <w:pPr>
        <w:keepNext w:val="0"/>
        <w:keepLines w:val="0"/>
        <w:pageBreakBefore w:val="0"/>
        <w:widowControl/>
        <w:kinsoku/>
        <w:wordWrap/>
        <w:overflowPunct/>
        <w:topLinePunct w:val="0"/>
        <w:autoSpaceDE/>
        <w:autoSpaceDN/>
        <w:bidi w:val="0"/>
        <w:adjustRightInd/>
        <w:snapToGrid/>
        <w:spacing w:line="240" w:lineRule="auto"/>
        <w:ind w:left="0" w:firstLine="360"/>
        <w:jc w:val="left"/>
        <w:rPr>
          <w:rFonts w:hint="eastAsia" w:ascii="仿宋" w:hAnsi="仿宋" w:eastAsia="仿宋" w:cs="仿宋"/>
          <w:kern w:val="0"/>
          <w:sz w:val="24"/>
        </w:rPr>
      </w:pPr>
      <w:r>
        <w:rPr>
          <w:rFonts w:hint="eastAsia" w:ascii="仿宋" w:hAnsi="仿宋" w:eastAsia="仿宋" w:cs="仿宋"/>
          <w:kern w:val="0"/>
          <w:sz w:val="24"/>
        </w:rPr>
        <w:t>（二）认购</w:t>
      </w:r>
    </w:p>
    <w:p w14:paraId="7425534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10</w:t>
      </w:r>
      <w:r>
        <w:rPr>
          <w:rFonts w:hint="eastAsia" w:ascii="仿宋" w:hAnsi="仿宋" w:eastAsia="仿宋" w:cs="仿宋"/>
          <w:kern w:val="0"/>
          <w:sz w:val="24"/>
        </w:rPr>
        <w:t>月</w:t>
      </w:r>
      <w:r>
        <w:rPr>
          <w:rFonts w:hint="eastAsia" w:ascii="仿宋" w:hAnsi="仿宋" w:eastAsia="仿宋" w:cs="仿宋"/>
          <w:kern w:val="0"/>
          <w:sz w:val="24"/>
          <w:lang w:val="en-US" w:eastAsia="zh-CN"/>
        </w:rPr>
        <w:t>18</w:t>
      </w:r>
      <w:r>
        <w:rPr>
          <w:rFonts w:hint="eastAsia" w:ascii="仿宋" w:hAnsi="仿宋" w:eastAsia="仿宋" w:cs="仿宋"/>
          <w:kern w:val="0"/>
          <w:sz w:val="24"/>
        </w:rPr>
        <w:t>日</w:t>
      </w:r>
      <w:r>
        <w:rPr>
          <w:rFonts w:hint="eastAsia" w:ascii="仿宋" w:hAnsi="仿宋" w:eastAsia="仿宋" w:cs="仿宋"/>
          <w:kern w:val="0"/>
          <w:sz w:val="24"/>
          <w:lang w:val="en-US" w:eastAsia="zh-CN"/>
        </w:rPr>
        <w:t>8</w:t>
      </w:r>
      <w:r>
        <w:rPr>
          <w:rFonts w:hint="eastAsia" w:ascii="仿宋" w:hAnsi="仿宋" w:eastAsia="仿宋" w:cs="仿宋"/>
          <w:kern w:val="0"/>
          <w:sz w:val="24"/>
        </w:rPr>
        <w:t>:00至202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10</w:t>
      </w:r>
      <w:r>
        <w:rPr>
          <w:rFonts w:hint="eastAsia" w:ascii="仿宋" w:hAnsi="仿宋" w:eastAsia="仿宋" w:cs="仿宋"/>
          <w:kern w:val="0"/>
          <w:sz w:val="24"/>
        </w:rPr>
        <w:t>月</w:t>
      </w:r>
      <w:r>
        <w:rPr>
          <w:rFonts w:hint="eastAsia" w:ascii="仿宋" w:hAnsi="仿宋" w:eastAsia="仿宋" w:cs="仿宋"/>
          <w:kern w:val="0"/>
          <w:sz w:val="24"/>
          <w:lang w:val="en-US" w:eastAsia="zh-CN"/>
        </w:rPr>
        <w:t>26</w:t>
      </w:r>
      <w:r>
        <w:rPr>
          <w:rFonts w:hint="eastAsia" w:ascii="仿宋" w:hAnsi="仿宋" w:eastAsia="仿宋" w:cs="仿宋"/>
          <w:kern w:val="0"/>
          <w:sz w:val="24"/>
        </w:rPr>
        <w:t>日17: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p>
    <w:p w14:paraId="5A1AD13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14:paraId="030B1A4E">
      <w:pPr>
        <w:keepNext w:val="0"/>
        <w:keepLines w:val="0"/>
        <w:pageBreakBefore w:val="0"/>
        <w:widowControl/>
        <w:kinsoku/>
        <w:wordWrap/>
        <w:overflowPunct/>
        <w:topLinePunct w:val="0"/>
        <w:autoSpaceDE/>
        <w:autoSpaceDN/>
        <w:bidi w:val="0"/>
        <w:adjustRightInd/>
        <w:snapToGrid/>
        <w:spacing w:line="240" w:lineRule="auto"/>
        <w:ind w:left="0" w:firstLine="360"/>
        <w:jc w:val="left"/>
        <w:rPr>
          <w:rFonts w:hint="eastAsia" w:ascii="仿宋" w:hAnsi="仿宋" w:eastAsia="仿宋" w:cs="仿宋"/>
          <w:kern w:val="0"/>
          <w:sz w:val="24"/>
        </w:rPr>
      </w:pPr>
      <w:r>
        <w:rPr>
          <w:rFonts w:hint="eastAsia" w:ascii="仿宋" w:hAnsi="仿宋" w:eastAsia="仿宋" w:cs="仿宋"/>
          <w:kern w:val="0"/>
          <w:sz w:val="24"/>
        </w:rPr>
        <w:t>（三）申购</w:t>
      </w:r>
    </w:p>
    <w:p w14:paraId="3BA7D2F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投资者可于预约申购期和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14:paraId="666EF60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14:paraId="489AB09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14:paraId="63191BB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14:paraId="3884DB6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14:paraId="3E5E670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27</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28</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28</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27</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eastAsia="zh-CN"/>
        </w:rPr>
        <w:t>1.04550</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eastAsia="zh-CN"/>
        </w:rPr>
        <w:t>1.04550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47824.01</w:t>
      </w:r>
      <w:r>
        <w:rPr>
          <w:rFonts w:hint="eastAsia" w:ascii="仿宋" w:hAnsi="仿宋" w:eastAsia="仿宋" w:cs="仿宋"/>
          <w:color w:val="333333"/>
          <w:kern w:val="0"/>
          <w:sz w:val="24"/>
        </w:rPr>
        <w:t>份。</w:t>
      </w:r>
    </w:p>
    <w:p w14:paraId="228BD647">
      <w:pPr>
        <w:keepNext w:val="0"/>
        <w:keepLines w:val="0"/>
        <w:pageBreakBefore w:val="0"/>
        <w:widowControl/>
        <w:kinsoku/>
        <w:wordWrap/>
        <w:overflowPunct/>
        <w:topLinePunct w:val="0"/>
        <w:autoSpaceDE/>
        <w:autoSpaceDN/>
        <w:bidi w:val="0"/>
        <w:adjustRightInd/>
        <w:snapToGrid/>
        <w:spacing w:line="240" w:lineRule="auto"/>
        <w:ind w:left="0" w:firstLine="360"/>
        <w:jc w:val="left"/>
        <w:rPr>
          <w:rFonts w:hint="eastAsia" w:ascii="仿宋" w:hAnsi="仿宋" w:eastAsia="仿宋" w:cs="仿宋"/>
          <w:kern w:val="0"/>
          <w:sz w:val="24"/>
        </w:rPr>
      </w:pPr>
      <w:r>
        <w:rPr>
          <w:rFonts w:hint="eastAsia" w:ascii="仿宋" w:hAnsi="仿宋" w:eastAsia="仿宋" w:cs="仿宋"/>
          <w:color w:val="333333"/>
          <w:kern w:val="0"/>
          <w:sz w:val="24"/>
        </w:rPr>
        <w:t>（四）赎回</w:t>
      </w:r>
    </w:p>
    <w:p w14:paraId="4EE2A51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预约赎回期和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14:paraId="1BD8F83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14:paraId="55DB8FA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14:paraId="00CB1B3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14:paraId="5D60545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14:paraId="64C75F7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14:paraId="4C89302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14:paraId="2039930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14:paraId="6230719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highlight w:val="none"/>
        </w:rPr>
      </w:pPr>
      <w:r>
        <w:rPr>
          <w:rFonts w:hint="eastAsia" w:ascii="仿宋" w:hAnsi="仿宋" w:eastAsia="仿宋" w:cs="仿宋"/>
          <w:color w:val="333333"/>
          <w:kern w:val="0"/>
          <w:sz w:val="24"/>
          <w:highlight w:val="none"/>
        </w:rPr>
        <w:t>假设某投资者持有50000份本产品，于</w:t>
      </w:r>
      <w:r>
        <w:rPr>
          <w:rFonts w:hint="eastAsia" w:ascii="仿宋" w:hAnsi="仿宋" w:eastAsia="仿宋" w:cs="仿宋"/>
          <w:color w:val="333333"/>
          <w:kern w:val="0"/>
          <w:sz w:val="24"/>
          <w:highlight w:val="none"/>
          <w:lang w:val="en-US" w:eastAsia="zh-CN"/>
        </w:rPr>
        <w:t>10月27日</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highlight w:val="none"/>
          <w:lang w:val="en-US" w:eastAsia="zh-CN"/>
        </w:rPr>
        <w:t>开放日、工作</w:t>
      </w:r>
      <w:r>
        <w:rPr>
          <w:rFonts w:hint="eastAsia" w:ascii="仿宋" w:hAnsi="仿宋" w:eastAsia="仿宋" w:cs="仿宋"/>
          <w:color w:val="333333"/>
          <w:kern w:val="0"/>
          <w:sz w:val="24"/>
          <w:highlight w:val="none"/>
        </w:rPr>
        <w:t>日）11:00申请全部赎回</w:t>
      </w:r>
      <w:r>
        <w:rPr>
          <w:rFonts w:hint="eastAsia" w:ascii="仿宋" w:hAnsi="仿宋" w:eastAsia="仿宋" w:cs="仿宋"/>
          <w:color w:val="333333"/>
          <w:kern w:val="0"/>
          <w:sz w:val="24"/>
          <w:highlight w:val="none"/>
          <w:lang w:eastAsia="zh-CN"/>
        </w:rPr>
        <w:t>，</w:t>
      </w:r>
      <w:r>
        <w:rPr>
          <w:rFonts w:hint="eastAsia" w:ascii="仿宋" w:hAnsi="仿宋" w:eastAsia="仿宋" w:cs="仿宋"/>
          <w:color w:val="333333"/>
          <w:kern w:val="0"/>
          <w:sz w:val="24"/>
          <w:highlight w:val="none"/>
          <w:lang w:val="en-US" w:eastAsia="zh-CN"/>
        </w:rPr>
        <w:t>开放周期为365天</w:t>
      </w:r>
      <w:r>
        <w:rPr>
          <w:rFonts w:hint="eastAsia" w:ascii="仿宋" w:hAnsi="仿宋" w:eastAsia="仿宋" w:cs="仿宋"/>
          <w:color w:val="333333"/>
          <w:kern w:val="0"/>
          <w:sz w:val="24"/>
          <w:highlight w:val="none"/>
        </w:rPr>
        <w:t>，银行于</w:t>
      </w:r>
      <w:r>
        <w:rPr>
          <w:rFonts w:hint="eastAsia" w:ascii="仿宋" w:hAnsi="仿宋" w:eastAsia="仿宋" w:cs="仿宋"/>
          <w:color w:val="333333"/>
          <w:kern w:val="0"/>
          <w:sz w:val="24"/>
          <w:highlight w:val="none"/>
          <w:lang w:val="en-US" w:eastAsia="zh-CN"/>
        </w:rPr>
        <w:t>10月28日</w:t>
      </w:r>
      <w:r>
        <w:rPr>
          <w:rFonts w:hint="eastAsia" w:ascii="仿宋" w:hAnsi="仿宋" w:eastAsia="仿宋" w:cs="仿宋"/>
          <w:color w:val="333333"/>
          <w:kern w:val="0"/>
          <w:sz w:val="24"/>
          <w:highlight w:val="none"/>
        </w:rPr>
        <w:t>（工作日）进行赎回确认，</w:t>
      </w:r>
      <w:r>
        <w:rPr>
          <w:rFonts w:hint="eastAsia" w:ascii="仿宋" w:hAnsi="仿宋" w:eastAsia="仿宋" w:cs="仿宋"/>
          <w:color w:val="333333"/>
          <w:kern w:val="0"/>
          <w:sz w:val="24"/>
          <w:highlight w:val="none"/>
          <w:lang w:val="en-US" w:eastAsia="zh-CN"/>
        </w:rPr>
        <w:t>开放日扣除固定管理费、托管费、估值费等相关税费后</w:t>
      </w:r>
      <w:r>
        <w:rPr>
          <w:rFonts w:hint="eastAsia" w:ascii="仿宋" w:hAnsi="仿宋" w:eastAsia="仿宋" w:cs="仿宋"/>
          <w:color w:val="333333"/>
          <w:kern w:val="0"/>
          <w:sz w:val="24"/>
          <w:highlight w:val="none"/>
        </w:rPr>
        <w:t>的产品净值为</w:t>
      </w:r>
      <w:r>
        <w:rPr>
          <w:rFonts w:hint="eastAsia" w:ascii="仿宋" w:hAnsi="仿宋" w:eastAsia="仿宋" w:cs="仿宋"/>
          <w:color w:val="333333"/>
          <w:kern w:val="0"/>
          <w:sz w:val="24"/>
          <w:highlight w:val="none"/>
          <w:lang w:val="en-US" w:eastAsia="zh-CN"/>
        </w:rPr>
        <w:t>1.04350</w:t>
      </w:r>
      <w:r>
        <w:rPr>
          <w:rFonts w:hint="eastAsia" w:ascii="仿宋" w:hAnsi="仿宋" w:eastAsia="仿宋" w:cs="仿宋"/>
          <w:color w:val="333333"/>
          <w:kern w:val="0"/>
          <w:sz w:val="24"/>
          <w:highlight w:val="none"/>
        </w:rPr>
        <w:t>，则投资者的收益计算如下：（</w:t>
      </w:r>
      <w:r>
        <w:rPr>
          <w:rFonts w:hint="eastAsia" w:ascii="仿宋" w:hAnsi="仿宋" w:eastAsia="仿宋" w:cs="仿宋"/>
          <w:color w:val="333333"/>
          <w:kern w:val="0"/>
          <w:sz w:val="24"/>
          <w:highlight w:val="none"/>
          <w:lang w:eastAsia="zh-CN"/>
        </w:rPr>
        <w:t>1.04</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lang w:eastAsia="zh-CN"/>
        </w:rPr>
        <w:t>50</w:t>
      </w:r>
      <w:r>
        <w:rPr>
          <w:rFonts w:hint="eastAsia" w:ascii="仿宋" w:hAnsi="仿宋" w:eastAsia="仿宋" w:cs="仿宋"/>
          <w:color w:val="333333"/>
          <w:kern w:val="0"/>
          <w:sz w:val="24"/>
          <w:highlight w:val="none"/>
        </w:rPr>
        <w:t>-1）×365/</w:t>
      </w:r>
      <w:r>
        <w:rPr>
          <w:rFonts w:hint="eastAsia" w:ascii="仿宋" w:hAnsi="仿宋" w:eastAsia="仿宋" w:cs="仿宋"/>
          <w:color w:val="333333"/>
          <w:kern w:val="0"/>
          <w:sz w:val="24"/>
          <w:highlight w:val="none"/>
          <w:lang w:val="en-US" w:eastAsia="zh-CN"/>
        </w:rPr>
        <w:t>365</w:t>
      </w:r>
      <w:r>
        <w:rPr>
          <w:rFonts w:hint="eastAsia" w:ascii="仿宋" w:hAnsi="仿宋" w:eastAsia="仿宋" w:cs="仿宋"/>
          <w:color w:val="333333"/>
          <w:kern w:val="0"/>
          <w:sz w:val="24"/>
          <w:highlight w:val="none"/>
        </w:rPr>
        <w:t>×100%=</w:t>
      </w:r>
      <w:r>
        <w:rPr>
          <w:rFonts w:hint="eastAsia" w:ascii="仿宋" w:hAnsi="仿宋" w:eastAsia="仿宋" w:cs="仿宋"/>
          <w:color w:val="333333"/>
          <w:kern w:val="0"/>
          <w:sz w:val="24"/>
          <w:highlight w:val="none"/>
          <w:lang w:val="en-US" w:eastAsia="zh-CN"/>
        </w:rPr>
        <w:t>4.35</w:t>
      </w:r>
      <w:r>
        <w:rPr>
          <w:rFonts w:hint="eastAsia" w:ascii="仿宋" w:hAnsi="仿宋" w:eastAsia="仿宋" w:cs="仿宋"/>
          <w:color w:val="333333"/>
          <w:kern w:val="0"/>
          <w:sz w:val="24"/>
          <w:highlight w:val="none"/>
        </w:rPr>
        <w:t>%，超过了</w:t>
      </w:r>
      <w:r>
        <w:rPr>
          <w:rFonts w:hint="eastAsia" w:ascii="仿宋" w:hAnsi="仿宋" w:eastAsia="仿宋" w:cs="仿宋"/>
          <w:color w:val="333333"/>
          <w:kern w:val="0"/>
          <w:sz w:val="24"/>
          <w:highlight w:val="none"/>
          <w:lang w:val="en-US" w:eastAsia="zh-CN"/>
        </w:rPr>
        <w:t>当期</w:t>
      </w:r>
      <w:r>
        <w:rPr>
          <w:rFonts w:hint="eastAsia" w:ascii="仿宋" w:hAnsi="仿宋" w:eastAsia="仿宋" w:cs="仿宋"/>
          <w:color w:val="333333"/>
          <w:kern w:val="0"/>
          <w:sz w:val="24"/>
          <w:highlight w:val="none"/>
        </w:rPr>
        <w:t>业绩比较基准（</w:t>
      </w:r>
      <w:r>
        <w:rPr>
          <w:rFonts w:hint="eastAsia" w:ascii="仿宋" w:hAnsi="仿宋" w:eastAsia="仿宋" w:cs="仿宋"/>
          <w:color w:val="333333"/>
          <w:kern w:val="0"/>
          <w:sz w:val="24"/>
          <w:highlight w:val="none"/>
          <w:lang w:val="en-US" w:eastAsia="zh-CN"/>
        </w:rPr>
        <w:t>4.10%</w:t>
      </w:r>
      <w:r>
        <w:rPr>
          <w:rFonts w:hint="eastAsia" w:ascii="仿宋" w:hAnsi="仿宋" w:eastAsia="仿宋" w:cs="仿宋"/>
          <w:color w:val="333333"/>
          <w:kern w:val="0"/>
          <w:sz w:val="24"/>
          <w:highlight w:val="none"/>
        </w:rPr>
        <w:t>），</w:t>
      </w:r>
    </w:p>
    <w:p w14:paraId="605A135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highlight w:val="none"/>
        </w:rPr>
      </w:pPr>
      <w:r>
        <w:rPr>
          <w:rFonts w:hint="eastAsia" w:ascii="仿宋" w:hAnsi="仿宋" w:eastAsia="仿宋" w:cs="仿宋"/>
          <w:color w:val="333333"/>
          <w:kern w:val="0"/>
          <w:sz w:val="24"/>
          <w:highlight w:val="none"/>
        </w:rPr>
        <w:t>则管理人收取浮动管理费为：50000×[</w:t>
      </w:r>
      <w:r>
        <w:rPr>
          <w:rFonts w:hint="eastAsia" w:ascii="仿宋" w:hAnsi="仿宋" w:eastAsia="仿宋" w:cs="仿宋"/>
          <w:color w:val="333333"/>
          <w:kern w:val="0"/>
          <w:sz w:val="24"/>
          <w:highlight w:val="none"/>
          <w:lang w:eastAsia="zh-CN"/>
        </w:rPr>
        <w:t>1.04</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lang w:eastAsia="zh-CN"/>
        </w:rPr>
        <w:t>50</w:t>
      </w:r>
      <w:r>
        <w:rPr>
          <w:rFonts w:hint="eastAsia" w:ascii="仿宋" w:hAnsi="仿宋" w:eastAsia="仿宋" w:cs="仿宋"/>
          <w:color w:val="333333"/>
          <w:kern w:val="0"/>
          <w:sz w:val="24"/>
          <w:highlight w:val="none"/>
        </w:rPr>
        <w:t>-（1+</w:t>
      </w:r>
      <w:r>
        <w:rPr>
          <w:rFonts w:hint="eastAsia" w:ascii="仿宋" w:hAnsi="仿宋" w:eastAsia="仿宋" w:cs="仿宋"/>
          <w:color w:val="333333"/>
          <w:kern w:val="0"/>
          <w:sz w:val="24"/>
          <w:highlight w:val="none"/>
          <w:lang w:val="en-US" w:eastAsia="zh-CN"/>
        </w:rPr>
        <w:t>4.10%</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highlight w:val="none"/>
          <w:lang w:val="en-US" w:eastAsia="zh-CN"/>
        </w:rPr>
        <w:t>365/</w:t>
      </w:r>
      <w:r>
        <w:rPr>
          <w:rFonts w:hint="eastAsia" w:ascii="仿宋" w:hAnsi="仿宋" w:eastAsia="仿宋" w:cs="仿宋"/>
          <w:color w:val="333333"/>
          <w:kern w:val="0"/>
          <w:sz w:val="24"/>
          <w:highlight w:val="none"/>
        </w:rPr>
        <w:t>365）]×</w:t>
      </w:r>
      <w:r>
        <w:rPr>
          <w:rFonts w:hint="eastAsia" w:ascii="仿宋" w:hAnsi="仿宋" w:eastAsia="仿宋" w:cs="仿宋"/>
          <w:color w:val="333333"/>
          <w:kern w:val="0"/>
          <w:sz w:val="24"/>
          <w:highlight w:val="none"/>
          <w:lang w:val="en-US" w:eastAsia="zh-CN"/>
        </w:rPr>
        <w:t>8</w:t>
      </w:r>
      <w:r>
        <w:rPr>
          <w:rFonts w:hint="eastAsia" w:ascii="仿宋" w:hAnsi="仿宋" w:eastAsia="仿宋" w:cs="仿宋"/>
          <w:color w:val="333333"/>
          <w:kern w:val="0"/>
          <w:sz w:val="24"/>
          <w:highlight w:val="none"/>
        </w:rPr>
        <w:t>0%=</w:t>
      </w:r>
      <w:r>
        <w:rPr>
          <w:rFonts w:hint="eastAsia" w:ascii="仿宋" w:hAnsi="仿宋" w:eastAsia="仿宋" w:cs="仿宋"/>
          <w:color w:val="333333"/>
          <w:kern w:val="0"/>
          <w:sz w:val="24"/>
          <w:highlight w:val="none"/>
          <w:lang w:val="en-US" w:eastAsia="zh-CN"/>
        </w:rPr>
        <w:t>100</w:t>
      </w:r>
      <w:r>
        <w:rPr>
          <w:rFonts w:hint="eastAsia" w:ascii="仿宋" w:hAnsi="仿宋" w:eastAsia="仿宋" w:cs="仿宋"/>
          <w:color w:val="333333"/>
          <w:kern w:val="0"/>
          <w:sz w:val="24"/>
          <w:highlight w:val="none"/>
        </w:rPr>
        <w:t>元，赎回费0元</w:t>
      </w:r>
      <w:r>
        <w:rPr>
          <w:rFonts w:hint="eastAsia" w:ascii="仿宋" w:hAnsi="仿宋" w:eastAsia="仿宋" w:cs="仿宋"/>
          <w:color w:val="333333"/>
          <w:kern w:val="0"/>
          <w:sz w:val="24"/>
          <w:highlight w:val="none"/>
          <w:lang w:eastAsia="zh-CN"/>
        </w:rPr>
        <w:t>，</w:t>
      </w:r>
      <w:r>
        <w:rPr>
          <w:rFonts w:hint="eastAsia" w:ascii="仿宋" w:hAnsi="仿宋" w:eastAsia="仿宋" w:cs="仿宋"/>
          <w:color w:val="333333"/>
          <w:kern w:val="0"/>
          <w:sz w:val="24"/>
          <w:highlight w:val="none"/>
        </w:rPr>
        <w:t>扣除浮动管理费后，投资者最终收回资金为：</w:t>
      </w:r>
    </w:p>
    <w:p w14:paraId="16DEB13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50000×</w:t>
      </w:r>
      <w:r>
        <w:rPr>
          <w:rFonts w:hint="eastAsia" w:ascii="仿宋" w:hAnsi="仿宋" w:eastAsia="仿宋" w:cs="仿宋"/>
          <w:color w:val="333333"/>
          <w:kern w:val="0"/>
          <w:sz w:val="24"/>
          <w:highlight w:val="none"/>
          <w:lang w:eastAsia="zh-CN"/>
        </w:rPr>
        <w:t>1.04</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lang w:eastAsia="zh-CN"/>
        </w:rPr>
        <w:t>50</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highlight w:val="none"/>
          <w:lang w:val="en-US" w:eastAsia="zh-CN"/>
        </w:rPr>
        <w:t>100</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highlight w:val="none"/>
          <w:lang w:val="en-US" w:eastAsia="zh-CN"/>
        </w:rPr>
        <w:t>52075.00</w:t>
      </w:r>
      <w:r>
        <w:rPr>
          <w:rFonts w:hint="eastAsia" w:ascii="仿宋" w:hAnsi="仿宋" w:eastAsia="仿宋" w:cs="仿宋"/>
          <w:color w:val="333333"/>
          <w:kern w:val="0"/>
          <w:sz w:val="24"/>
          <w:highlight w:val="none"/>
        </w:rPr>
        <w:t>元 投资者实际收益年化为</w:t>
      </w:r>
      <w:r>
        <w:rPr>
          <w:rFonts w:hint="eastAsia" w:ascii="仿宋" w:hAnsi="仿宋" w:eastAsia="仿宋" w:cs="仿宋"/>
          <w:color w:val="333333"/>
          <w:kern w:val="0"/>
          <w:sz w:val="24"/>
          <w:highlight w:val="none"/>
          <w:lang w:val="en-US" w:eastAsia="zh-CN"/>
        </w:rPr>
        <w:t>4.15</w:t>
      </w:r>
      <w:r>
        <w:rPr>
          <w:rFonts w:hint="eastAsia" w:ascii="仿宋" w:hAnsi="仿宋" w:eastAsia="仿宋" w:cs="仿宋"/>
          <w:color w:val="333333"/>
          <w:kern w:val="0"/>
          <w:sz w:val="24"/>
          <w:highlight w:val="none"/>
        </w:rPr>
        <w:t>%</w:t>
      </w:r>
    </w:p>
    <w:p w14:paraId="3AD9F69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highlight w:val="none"/>
        </w:rPr>
      </w:pPr>
      <w:r>
        <w:rPr>
          <w:rFonts w:hint="eastAsia" w:ascii="仿宋" w:hAnsi="仿宋" w:eastAsia="仿宋" w:cs="仿宋"/>
          <w:color w:val="333333"/>
          <w:kern w:val="0"/>
          <w:sz w:val="24"/>
          <w:highlight w:val="none"/>
        </w:rPr>
        <w:t>计算示例二：</w:t>
      </w:r>
    </w:p>
    <w:p w14:paraId="61EA194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rPr>
        <w:t>假设某投资者持有50000份本产品，于</w:t>
      </w:r>
      <w:r>
        <w:rPr>
          <w:rFonts w:hint="eastAsia" w:ascii="仿宋" w:hAnsi="仿宋" w:eastAsia="仿宋" w:cs="仿宋"/>
          <w:color w:val="333333"/>
          <w:kern w:val="0"/>
          <w:sz w:val="24"/>
          <w:highlight w:val="none"/>
          <w:lang w:val="en-US" w:eastAsia="zh-CN"/>
        </w:rPr>
        <w:t>10月27日</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highlight w:val="none"/>
          <w:lang w:val="en-US" w:eastAsia="zh-CN"/>
        </w:rPr>
        <w:t>开放日、工作日</w:t>
      </w:r>
      <w:r>
        <w:rPr>
          <w:rFonts w:hint="eastAsia" w:ascii="仿宋" w:hAnsi="仿宋" w:eastAsia="仿宋" w:cs="仿宋"/>
          <w:color w:val="333333"/>
          <w:kern w:val="0"/>
          <w:sz w:val="24"/>
          <w:highlight w:val="none"/>
        </w:rPr>
        <w:t>）11:00申请全部赎回</w:t>
      </w:r>
      <w:r>
        <w:rPr>
          <w:rFonts w:hint="eastAsia" w:ascii="仿宋" w:hAnsi="仿宋" w:eastAsia="仿宋" w:cs="仿宋"/>
          <w:color w:val="333333"/>
          <w:kern w:val="0"/>
          <w:sz w:val="24"/>
          <w:highlight w:val="none"/>
          <w:lang w:eastAsia="zh-CN"/>
        </w:rPr>
        <w:t>，</w:t>
      </w:r>
      <w:r>
        <w:rPr>
          <w:rFonts w:hint="eastAsia" w:ascii="仿宋" w:hAnsi="仿宋" w:eastAsia="仿宋" w:cs="仿宋"/>
          <w:color w:val="333333"/>
          <w:kern w:val="0"/>
          <w:sz w:val="24"/>
          <w:highlight w:val="none"/>
          <w:lang w:val="en-US" w:eastAsia="zh-CN"/>
        </w:rPr>
        <w:t>开放周期为365天</w:t>
      </w:r>
      <w:r>
        <w:rPr>
          <w:rFonts w:hint="eastAsia" w:ascii="仿宋" w:hAnsi="仿宋" w:eastAsia="仿宋" w:cs="仿宋"/>
          <w:color w:val="333333"/>
          <w:kern w:val="0"/>
          <w:sz w:val="24"/>
          <w:highlight w:val="none"/>
        </w:rPr>
        <w:t>，银行于</w:t>
      </w:r>
      <w:r>
        <w:rPr>
          <w:rFonts w:hint="eastAsia" w:ascii="仿宋" w:hAnsi="仿宋" w:eastAsia="仿宋" w:cs="仿宋"/>
          <w:color w:val="333333"/>
          <w:kern w:val="0"/>
          <w:sz w:val="24"/>
          <w:highlight w:val="none"/>
          <w:lang w:val="en-US" w:eastAsia="zh-CN"/>
        </w:rPr>
        <w:t>10月28日</w:t>
      </w:r>
      <w:r>
        <w:rPr>
          <w:rFonts w:hint="eastAsia" w:ascii="仿宋" w:hAnsi="仿宋" w:eastAsia="仿宋" w:cs="仿宋"/>
          <w:color w:val="333333"/>
          <w:kern w:val="0"/>
          <w:sz w:val="24"/>
          <w:highlight w:val="none"/>
        </w:rPr>
        <w:t>（工作日）进行赎回确认，</w:t>
      </w:r>
      <w:r>
        <w:rPr>
          <w:rFonts w:hint="eastAsia" w:ascii="仿宋" w:hAnsi="仿宋" w:eastAsia="仿宋" w:cs="仿宋"/>
          <w:color w:val="333333"/>
          <w:kern w:val="0"/>
          <w:sz w:val="24"/>
          <w:highlight w:val="none"/>
          <w:lang w:val="en-US" w:eastAsia="zh-CN"/>
        </w:rPr>
        <w:t>开放日扣除固定管理费、托管费、估值费等相关税费后</w:t>
      </w:r>
      <w:r>
        <w:rPr>
          <w:rFonts w:hint="eastAsia" w:ascii="仿宋" w:hAnsi="仿宋" w:eastAsia="仿宋" w:cs="仿宋"/>
          <w:color w:val="333333"/>
          <w:kern w:val="0"/>
          <w:sz w:val="24"/>
          <w:highlight w:val="none"/>
        </w:rPr>
        <w:t>的产品净值为</w:t>
      </w:r>
      <w:r>
        <w:rPr>
          <w:rFonts w:hint="eastAsia" w:ascii="仿宋" w:hAnsi="仿宋" w:eastAsia="仿宋" w:cs="仿宋"/>
          <w:color w:val="333333"/>
          <w:kern w:val="0"/>
          <w:sz w:val="24"/>
          <w:highlight w:val="none"/>
          <w:lang w:val="en-US" w:eastAsia="zh-CN"/>
        </w:rPr>
        <w:t>1.04030</w:t>
      </w:r>
      <w:r>
        <w:rPr>
          <w:rFonts w:hint="eastAsia" w:ascii="仿宋" w:hAnsi="仿宋" w:eastAsia="仿宋" w:cs="仿宋"/>
          <w:color w:val="333333"/>
          <w:kern w:val="0"/>
          <w:sz w:val="24"/>
          <w:highlight w:val="none"/>
        </w:rPr>
        <w:t>，则投资者的收益计算如下：（</w:t>
      </w:r>
      <w:r>
        <w:rPr>
          <w:rFonts w:hint="eastAsia" w:ascii="仿宋" w:hAnsi="仿宋" w:eastAsia="仿宋" w:cs="仿宋"/>
          <w:color w:val="333333"/>
          <w:kern w:val="0"/>
          <w:sz w:val="24"/>
          <w:highlight w:val="none"/>
          <w:lang w:eastAsia="zh-CN"/>
        </w:rPr>
        <w:t>1.04</w:t>
      </w:r>
      <w:r>
        <w:rPr>
          <w:rFonts w:hint="eastAsia" w:ascii="仿宋" w:hAnsi="仿宋" w:eastAsia="仿宋" w:cs="仿宋"/>
          <w:color w:val="333333"/>
          <w:kern w:val="0"/>
          <w:sz w:val="24"/>
          <w:highlight w:val="none"/>
          <w:lang w:val="en-US" w:eastAsia="zh-CN"/>
        </w:rPr>
        <w:t>03</w:t>
      </w:r>
      <w:r>
        <w:rPr>
          <w:rFonts w:hint="eastAsia" w:ascii="仿宋" w:hAnsi="仿宋" w:eastAsia="仿宋" w:cs="仿宋"/>
          <w:color w:val="333333"/>
          <w:kern w:val="0"/>
          <w:sz w:val="24"/>
          <w:highlight w:val="none"/>
          <w:lang w:eastAsia="zh-CN"/>
        </w:rPr>
        <w:t>0</w:t>
      </w:r>
      <w:r>
        <w:rPr>
          <w:rFonts w:hint="eastAsia" w:ascii="仿宋" w:hAnsi="仿宋" w:eastAsia="仿宋" w:cs="仿宋"/>
          <w:color w:val="333333"/>
          <w:kern w:val="0"/>
          <w:sz w:val="24"/>
          <w:highlight w:val="none"/>
        </w:rPr>
        <w:t>-1）×365/</w:t>
      </w:r>
      <w:r>
        <w:rPr>
          <w:rFonts w:hint="eastAsia" w:ascii="仿宋" w:hAnsi="仿宋" w:eastAsia="仿宋" w:cs="仿宋"/>
          <w:color w:val="333333"/>
          <w:kern w:val="0"/>
          <w:sz w:val="24"/>
          <w:highlight w:val="none"/>
          <w:lang w:val="en-US" w:eastAsia="zh-CN"/>
        </w:rPr>
        <w:t>365</w:t>
      </w:r>
      <w:r>
        <w:rPr>
          <w:rFonts w:hint="eastAsia" w:ascii="仿宋" w:hAnsi="仿宋" w:eastAsia="仿宋" w:cs="仿宋"/>
          <w:color w:val="333333"/>
          <w:kern w:val="0"/>
          <w:sz w:val="24"/>
          <w:highlight w:val="none"/>
        </w:rPr>
        <w:t>×100%=</w:t>
      </w:r>
      <w:r>
        <w:rPr>
          <w:rFonts w:hint="eastAsia" w:ascii="仿宋" w:hAnsi="仿宋" w:eastAsia="仿宋" w:cs="仿宋"/>
          <w:color w:val="333333"/>
          <w:kern w:val="0"/>
          <w:sz w:val="24"/>
          <w:highlight w:val="none"/>
          <w:lang w:val="en-US" w:eastAsia="zh-CN"/>
        </w:rPr>
        <w:t>4.03</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highlight w:val="none"/>
          <w:lang w:eastAsia="zh-CN"/>
        </w:rPr>
        <w:t>，</w:t>
      </w:r>
      <w:r>
        <w:rPr>
          <w:rFonts w:hint="eastAsia" w:ascii="仿宋" w:hAnsi="仿宋" w:eastAsia="仿宋" w:cs="仿宋"/>
          <w:color w:val="333333"/>
          <w:kern w:val="0"/>
          <w:sz w:val="24"/>
          <w:highlight w:val="none"/>
        </w:rPr>
        <w:t>低于</w:t>
      </w:r>
      <w:r>
        <w:rPr>
          <w:rFonts w:hint="eastAsia" w:ascii="仿宋" w:hAnsi="仿宋" w:eastAsia="仿宋" w:cs="仿宋"/>
          <w:color w:val="333333"/>
          <w:kern w:val="0"/>
          <w:sz w:val="24"/>
          <w:highlight w:val="none"/>
          <w:lang w:val="en-US" w:eastAsia="zh-CN"/>
        </w:rPr>
        <w:t>当期</w:t>
      </w:r>
      <w:r>
        <w:rPr>
          <w:rFonts w:hint="eastAsia" w:ascii="仿宋" w:hAnsi="仿宋" w:eastAsia="仿宋" w:cs="仿宋"/>
          <w:color w:val="333333"/>
          <w:kern w:val="0"/>
          <w:sz w:val="24"/>
          <w:highlight w:val="none"/>
        </w:rPr>
        <w:t>业绩比较基准，管理人不收取浮动管理费</w:t>
      </w:r>
      <w:r>
        <w:rPr>
          <w:rFonts w:hint="eastAsia" w:ascii="仿宋" w:hAnsi="仿宋" w:eastAsia="仿宋" w:cs="仿宋"/>
          <w:color w:val="333333"/>
          <w:kern w:val="0"/>
          <w:sz w:val="24"/>
          <w:highlight w:val="none"/>
          <w:lang w:val="en-US" w:eastAsia="zh-CN"/>
        </w:rPr>
        <w:t>，赎回费0元，投资者应得赎回资金为50000</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highlight w:val="none"/>
          <w:lang w:val="en-US" w:eastAsia="zh-CN"/>
        </w:rPr>
        <w:t>1.04030=52015.00元。</w:t>
      </w:r>
    </w:p>
    <w:p w14:paraId="3F0C78A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14:paraId="1C4F1A46">
      <w:pPr>
        <w:keepNext w:val="0"/>
        <w:keepLines w:val="0"/>
        <w:pageBreakBefore w:val="0"/>
        <w:widowControl/>
        <w:kinsoku/>
        <w:wordWrap/>
        <w:overflowPunct/>
        <w:topLinePunct w:val="0"/>
        <w:autoSpaceDE/>
        <w:autoSpaceDN/>
        <w:bidi w:val="0"/>
        <w:adjustRightInd/>
        <w:snapToGrid/>
        <w:spacing w:line="240" w:lineRule="auto"/>
        <w:ind w:left="0" w:firstLine="36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14:paraId="03190738">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36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14:paraId="3B07A25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14:paraId="4C8984E5">
      <w:pPr>
        <w:keepNext w:val="0"/>
        <w:keepLines w:val="0"/>
        <w:pageBreakBefore w:val="0"/>
        <w:widowControl/>
        <w:kinsoku/>
        <w:wordWrap/>
        <w:overflowPunct/>
        <w:topLinePunct w:val="0"/>
        <w:autoSpaceDE/>
        <w:autoSpaceDN/>
        <w:bidi w:val="0"/>
        <w:adjustRightInd/>
        <w:snapToGrid/>
        <w:spacing w:line="240" w:lineRule="auto"/>
        <w:ind w:left="0" w:firstLine="48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14:paraId="20DDA65E">
      <w:pPr>
        <w:keepNext w:val="0"/>
        <w:keepLines w:val="0"/>
        <w:pageBreakBefore w:val="0"/>
        <w:widowControl/>
        <w:kinsoku/>
        <w:wordWrap/>
        <w:overflowPunct/>
        <w:topLinePunct w:val="0"/>
        <w:autoSpaceDE/>
        <w:autoSpaceDN/>
        <w:bidi w:val="0"/>
        <w:adjustRightInd/>
        <w:snapToGrid/>
        <w:spacing w:line="240" w:lineRule="auto"/>
        <w:ind w:left="0" w:firstLine="360"/>
        <w:jc w:val="left"/>
        <w:rPr>
          <w:rFonts w:hint="eastAsia" w:ascii="仿宋" w:hAnsi="仿宋" w:eastAsia="仿宋" w:cs="仿宋"/>
          <w:kern w:val="0"/>
          <w:sz w:val="24"/>
        </w:rPr>
      </w:pPr>
      <w:r>
        <w:rPr>
          <w:rFonts w:hint="eastAsia" w:ascii="仿宋" w:hAnsi="仿宋" w:eastAsia="仿宋" w:cs="仿宋"/>
          <w:kern w:val="0"/>
          <w:sz w:val="24"/>
        </w:rPr>
        <w:t>（六）提前终止</w:t>
      </w:r>
    </w:p>
    <w:p w14:paraId="01121BE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14:paraId="2358E41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2、长沙农商银行若提前终止本理财产品，将于提前终止日前5个工作日，在长沙农商银行网站或相关营业网点发布相关消息。并于提前终止日后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14:paraId="1754E78F">
      <w:pPr>
        <w:keepNext w:val="0"/>
        <w:keepLines w:val="0"/>
        <w:pageBreakBefore w:val="0"/>
        <w:widowControl/>
        <w:kinsoku/>
        <w:wordWrap/>
        <w:overflowPunct/>
        <w:topLinePunct w:val="0"/>
        <w:autoSpaceDE/>
        <w:autoSpaceDN/>
        <w:bidi w:val="0"/>
        <w:adjustRightInd/>
        <w:snapToGrid/>
        <w:spacing w:line="240" w:lineRule="auto"/>
        <w:ind w:left="0"/>
        <w:rPr>
          <w:rFonts w:hint="eastAsia" w:ascii="仿宋" w:hAnsi="仿宋" w:eastAsia="仿宋" w:cs="仿宋"/>
          <w:kern w:val="0"/>
          <w:sz w:val="24"/>
        </w:rPr>
      </w:pPr>
      <w:r>
        <w:rPr>
          <w:rFonts w:hint="eastAsia" w:ascii="仿宋" w:hAnsi="仿宋" w:eastAsia="仿宋" w:cs="仿宋"/>
          <w:b/>
          <w:bCs/>
          <w:kern w:val="0"/>
          <w:sz w:val="24"/>
        </w:rPr>
        <w:t xml:space="preserve">   四、投资方向范围及比例</w:t>
      </w:r>
    </w:p>
    <w:p w14:paraId="3FFCB622">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14:paraId="2DC53A30">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14:paraId="068C06CD">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14:paraId="686AB0ED">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14:paraId="46D5BE64">
      <w:pPr>
        <w:keepNext w:val="0"/>
        <w:keepLines w:val="0"/>
        <w:pageBreakBefore w:val="0"/>
        <w:widowControl/>
        <w:kinsoku/>
        <w:wordWrap/>
        <w:overflowPunct/>
        <w:topLinePunct w:val="0"/>
        <w:autoSpaceDE/>
        <w:autoSpaceDN/>
        <w:bidi w:val="0"/>
        <w:adjustRightInd/>
        <w:snapToGrid/>
        <w:spacing w:line="240" w:lineRule="auto"/>
        <w:ind w:left="0" w:firstLine="361"/>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14:paraId="00BFD068">
      <w:pPr>
        <w:keepNext w:val="0"/>
        <w:keepLines w:val="0"/>
        <w:pageBreakBefore w:val="0"/>
        <w:widowControl/>
        <w:kinsoku/>
        <w:wordWrap/>
        <w:overflowPunct/>
        <w:topLinePunct w:val="0"/>
        <w:autoSpaceDE/>
        <w:autoSpaceDN/>
        <w:bidi w:val="0"/>
        <w:adjustRightInd/>
        <w:snapToGrid/>
        <w:spacing w:line="240" w:lineRule="auto"/>
        <w:ind w:left="0" w:firstLine="36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14:paraId="2E6FD2B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14:paraId="684C788F">
      <w:pPr>
        <w:keepNext w:val="0"/>
        <w:keepLines w:val="0"/>
        <w:pageBreakBefore w:val="0"/>
        <w:widowControl/>
        <w:kinsoku/>
        <w:wordWrap/>
        <w:overflowPunct/>
        <w:topLinePunct w:val="0"/>
        <w:autoSpaceDE/>
        <w:autoSpaceDN/>
        <w:bidi w:val="0"/>
        <w:adjustRightInd/>
        <w:snapToGrid/>
        <w:spacing w:line="240" w:lineRule="auto"/>
        <w:ind w:left="0" w:firstLine="360"/>
        <w:jc w:val="left"/>
        <w:rPr>
          <w:rFonts w:hint="eastAsia" w:ascii="仿宋" w:hAnsi="仿宋" w:eastAsia="仿宋" w:cs="仿宋"/>
          <w:kern w:val="0"/>
          <w:sz w:val="24"/>
        </w:rPr>
      </w:pPr>
      <w:r>
        <w:rPr>
          <w:rFonts w:hint="eastAsia" w:ascii="仿宋" w:hAnsi="仿宋" w:eastAsia="仿宋" w:cs="仿宋"/>
          <w:kern w:val="0"/>
          <w:sz w:val="24"/>
        </w:rPr>
        <w:t>（二）估值对象</w:t>
      </w:r>
    </w:p>
    <w:p w14:paraId="78B4E9A8">
      <w:pPr>
        <w:keepNext w:val="0"/>
        <w:keepLines w:val="0"/>
        <w:pageBreakBefore w:val="0"/>
        <w:widowControl/>
        <w:kinsoku/>
        <w:wordWrap/>
        <w:overflowPunct/>
        <w:topLinePunct w:val="0"/>
        <w:autoSpaceDE/>
        <w:autoSpaceDN/>
        <w:bidi w:val="0"/>
        <w:adjustRightInd/>
        <w:snapToGrid/>
        <w:spacing w:line="240" w:lineRule="auto"/>
        <w:ind w:left="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14:paraId="56D671A3">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估值方法</w:t>
      </w:r>
    </w:p>
    <w:p w14:paraId="5B876F0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14:paraId="141A870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14:paraId="29D5C92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14:paraId="7524C33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14:paraId="5A601A1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14:paraId="0DB0A8C1">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14:paraId="3697EFC2">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14:paraId="6D82E424">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14:paraId="1648AB0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14:paraId="44EE44D4">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14:paraId="2D70358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14:paraId="5F6BF31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14:paraId="0018103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14:paraId="2D847CA2">
      <w:pPr>
        <w:keepNext w:val="0"/>
        <w:keepLines w:val="0"/>
        <w:pageBreakBefore w:val="0"/>
        <w:widowControl/>
        <w:kinsoku/>
        <w:wordWrap/>
        <w:overflowPunct/>
        <w:topLinePunct w:val="0"/>
        <w:autoSpaceDE/>
        <w:autoSpaceDN/>
        <w:bidi w:val="0"/>
        <w:adjustRightInd/>
        <w:snapToGrid/>
        <w:spacing w:line="240" w:lineRule="auto"/>
        <w:ind w:left="0"/>
        <w:rPr>
          <w:rFonts w:hint="eastAsia" w:ascii="仿宋" w:hAnsi="仿宋" w:eastAsia="仿宋" w:cs="仿宋"/>
          <w:kern w:val="0"/>
          <w:sz w:val="24"/>
        </w:rPr>
      </w:pPr>
      <w:r>
        <w:rPr>
          <w:rFonts w:hint="eastAsia" w:ascii="仿宋" w:hAnsi="仿宋" w:eastAsia="仿宋" w:cs="仿宋"/>
          <w:b/>
          <w:bCs/>
          <w:kern w:val="0"/>
          <w:sz w:val="24"/>
        </w:rPr>
        <w:t xml:space="preserve">    七、理财产品信息披露</w:t>
      </w:r>
    </w:p>
    <w:p w14:paraId="13D548B7">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14:paraId="74B257B5">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r>
        <w:rPr>
          <w:rFonts w:hint="eastAsia" w:ascii="仿宋" w:hAnsi="仿宋" w:eastAsia="仿宋" w:cs="仿宋"/>
          <w:kern w:val="0"/>
          <w:sz w:val="24"/>
          <w:lang w:val="en-US" w:eastAsia="zh-CN"/>
        </w:rPr>
        <w:t>投资者可在手机银行查看持有理财产品情况，或在营业网点理财销售专柜查询</w:t>
      </w:r>
      <w:r>
        <w:rPr>
          <w:rFonts w:hint="eastAsia" w:ascii="仿宋" w:hAnsi="仿宋" w:eastAsia="仿宋" w:cs="仿宋"/>
          <w:kern w:val="0"/>
          <w:sz w:val="24"/>
        </w:rPr>
        <w:t>。</w:t>
      </w:r>
    </w:p>
    <w:p w14:paraId="6B344725">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14:paraId="0D3DA496">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14:paraId="009F918B">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14:paraId="6A42277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14:paraId="4A10FB9A">
      <w:pPr>
        <w:keepNext w:val="0"/>
        <w:keepLines w:val="0"/>
        <w:pageBreakBefore w:val="0"/>
        <w:widowControl/>
        <w:kinsoku/>
        <w:wordWrap/>
        <w:overflowPunct/>
        <w:topLinePunct w:val="0"/>
        <w:autoSpaceDE/>
        <w:autoSpaceDN/>
        <w:bidi w:val="0"/>
        <w:adjustRightInd/>
        <w:snapToGrid/>
        <w:spacing w:line="240" w:lineRule="auto"/>
        <w:ind w:left="0"/>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b/>
          <w:bCs/>
          <w:kern w:val="0"/>
          <w:sz w:val="24"/>
        </w:rPr>
        <w:t xml:space="preserve"> </w:t>
      </w: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14:paraId="1174B780">
      <w:pPr>
        <w:keepNext w:val="0"/>
        <w:keepLines w:val="0"/>
        <w:pageBreakBefore w:val="0"/>
        <w:widowControl/>
        <w:kinsoku/>
        <w:wordWrap/>
        <w:overflowPunct/>
        <w:topLinePunct w:val="0"/>
        <w:autoSpaceDE/>
        <w:autoSpaceDN/>
        <w:bidi w:val="0"/>
        <w:adjustRightInd/>
        <w:snapToGrid/>
        <w:spacing w:line="240" w:lineRule="auto"/>
        <w:ind w:left="0"/>
        <w:rPr>
          <w:rFonts w:hint="eastAsia" w:ascii="仿宋" w:hAnsi="仿宋" w:eastAsia="仿宋" w:cs="仿宋"/>
          <w:kern w:val="0"/>
          <w:sz w:val="24"/>
        </w:rPr>
      </w:pPr>
      <w:r>
        <w:rPr>
          <w:rFonts w:hint="eastAsia" w:ascii="仿宋" w:hAnsi="仿宋" w:eastAsia="仿宋" w:cs="仿宋"/>
          <w:kern w:val="0"/>
          <w:sz w:val="24"/>
        </w:rPr>
        <w:t>    1、本理财产品说明书中示例均采用假设</w:t>
      </w:r>
      <w:r>
        <w:rPr>
          <w:rFonts w:hint="eastAsia" w:ascii="仿宋" w:hAnsi="仿宋" w:eastAsia="仿宋" w:cs="仿宋"/>
          <w:color w:val="333333"/>
          <w:kern w:val="0"/>
          <w:sz w:val="24"/>
        </w:rPr>
        <w:t xml:space="preserve">数据，并不代表投资者实际可获得的收益。 </w:t>
      </w:r>
    </w:p>
    <w:p w14:paraId="13CAA0EC">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14:paraId="03573C8E">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14:paraId="54256D7E"/>
    <w:p w14:paraId="2A6E45EA"/>
    <w:p w14:paraId="380EF4F6"/>
    <w:p w14:paraId="7AAE1504"/>
    <w:p w14:paraId="224ED648"/>
    <w:p w14:paraId="37C1F8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76"/>
    <w:rsid w:val="000D3914"/>
    <w:rsid w:val="00424276"/>
    <w:rsid w:val="008C1FC7"/>
    <w:rsid w:val="00BE2066"/>
    <w:rsid w:val="00EA7B25"/>
    <w:rsid w:val="015B7B55"/>
    <w:rsid w:val="0292700F"/>
    <w:rsid w:val="0440153B"/>
    <w:rsid w:val="04F05D3E"/>
    <w:rsid w:val="09004CD5"/>
    <w:rsid w:val="0A96167B"/>
    <w:rsid w:val="0C4F479F"/>
    <w:rsid w:val="0CD52AD9"/>
    <w:rsid w:val="0D7D4A5C"/>
    <w:rsid w:val="0F057D56"/>
    <w:rsid w:val="104A6EE7"/>
    <w:rsid w:val="11037796"/>
    <w:rsid w:val="176F73DA"/>
    <w:rsid w:val="195464B6"/>
    <w:rsid w:val="1A750851"/>
    <w:rsid w:val="1B900686"/>
    <w:rsid w:val="1D681BC5"/>
    <w:rsid w:val="1E725242"/>
    <w:rsid w:val="23867AB6"/>
    <w:rsid w:val="2B474FA2"/>
    <w:rsid w:val="2BAA4827"/>
    <w:rsid w:val="2C5F700F"/>
    <w:rsid w:val="2D2C5140"/>
    <w:rsid w:val="30E63EA6"/>
    <w:rsid w:val="36AE0F18"/>
    <w:rsid w:val="371B3438"/>
    <w:rsid w:val="3B8555A0"/>
    <w:rsid w:val="3C4D6A32"/>
    <w:rsid w:val="3FA56505"/>
    <w:rsid w:val="49EE267F"/>
    <w:rsid w:val="4DE421FA"/>
    <w:rsid w:val="5CE61FE8"/>
    <w:rsid w:val="5E5D2C26"/>
    <w:rsid w:val="5F242B53"/>
    <w:rsid w:val="5F45454F"/>
    <w:rsid w:val="61E46281"/>
    <w:rsid w:val="65F11116"/>
    <w:rsid w:val="66925881"/>
    <w:rsid w:val="66FF19FB"/>
    <w:rsid w:val="68746CCC"/>
    <w:rsid w:val="6B7C1256"/>
    <w:rsid w:val="722012D2"/>
    <w:rsid w:val="75F46E8C"/>
    <w:rsid w:val="76702B5E"/>
    <w:rsid w:val="76D53A6D"/>
    <w:rsid w:val="772F60EC"/>
    <w:rsid w:val="7C9663A9"/>
    <w:rsid w:val="7DBF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Words>
  <Characters>309</Characters>
  <Lines>2</Lines>
  <Paragraphs>1</Paragraphs>
  <TotalTime>0</TotalTime>
  <ScaleCrop>false</ScaleCrop>
  <LinksUpToDate>false</LinksUpToDate>
  <CharactersWithSpaces>362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LENOVO</cp:lastModifiedBy>
  <dcterms:modified xsi:type="dcterms:W3CDTF">2025-12-16T07:00:34Z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D978B6C22EFA4055A9D52B3E5F32552F</vt:lpwstr>
  </property>
</Properties>
</file>