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ascii="黑体" w:hAnsi="黑体" w:eastAsia="黑体" w:cs="黑体"/>
          <w:bCs/>
          <w:kern w:val="0"/>
          <w:sz w:val="32"/>
          <w:szCs w:val="32"/>
        </w:rPr>
      </w:pPr>
      <w:bookmarkStart w:id="1" w:name="_GoBack"/>
      <w:r>
        <w:rPr>
          <w:rFonts w:hint="eastAsia" w:ascii="黑体" w:hAnsi="黑体" w:eastAsia="黑体" w:cs="黑体"/>
          <w:bCs/>
          <w:kern w:val="0"/>
          <w:sz w:val="32"/>
          <w:szCs w:val="32"/>
        </w:rPr>
        <w:t>长沙农村商业银行股份有限公司福祥·金种子</w:t>
      </w:r>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智盈年定开3号</w:t>
      </w:r>
      <w:r>
        <w:rPr>
          <w:rFonts w:hint="eastAsia" w:ascii="黑体" w:hAnsi="黑体" w:eastAsia="黑体" w:cs="黑体"/>
          <w:bCs/>
          <w:kern w:val="0"/>
          <w:sz w:val="32"/>
          <w:szCs w:val="32"/>
        </w:rPr>
        <w:t>理财产品说明书</w:t>
      </w:r>
      <w:bookmarkEnd w:id="1"/>
    </w:p>
    <w:p>
      <w:pPr>
        <w:spacing w:line="580" w:lineRule="exact"/>
        <w:textAlignment w:val="baseline"/>
        <w:rPr>
          <w:rFonts w:eastAsia="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智盈年定开3号</w:t>
            </w:r>
            <w:r>
              <w:rPr>
                <w:rFonts w:hint="eastAsia" w:ascii="仿宋" w:hAnsi="仿宋" w:eastAsia="仿宋" w:cs="仿宋"/>
                <w:kern w:val="0"/>
                <w:sz w:val="24"/>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C1113222000004</w:t>
            </w:r>
            <w:r>
              <w:rPr>
                <w:rFonts w:hint="eastAsia" w:ascii="仿宋" w:hAnsi="仿宋" w:eastAsia="仿宋" w:cs="仿宋"/>
                <w:color w:val="333333"/>
                <w:kern w:val="0"/>
                <w:sz w:val="24"/>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2022年3月25日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2022年4月5日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成立后每年4月10日为开放日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申购期</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30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前，可接受申购、赎回</w:t>
            </w:r>
            <w:r>
              <w:rPr>
                <w:rFonts w:hint="eastAsia" w:ascii="仿宋" w:hAnsi="仿宋" w:eastAsia="仿宋" w:cs="仿宋"/>
                <w:b/>
                <w:bCs/>
                <w:color w:val="333333"/>
                <w:kern w:val="0"/>
                <w:sz w:val="24"/>
                <w:highlight w:val="none"/>
                <w:lang w:val="en-US" w:eastAsia="zh-CN"/>
              </w:rPr>
              <w:t>及撤销</w:t>
            </w:r>
            <w:r>
              <w:rPr>
                <w:rFonts w:hint="eastAsia" w:ascii="仿宋" w:hAnsi="仿宋" w:eastAsia="仿宋" w:cs="仿宋"/>
                <w:b/>
                <w:bCs/>
                <w:color w:val="333333"/>
                <w:kern w:val="0"/>
                <w:sz w:val="24"/>
                <w:highlight w:val="none"/>
              </w:rPr>
              <w:t>申请。申购、赎回申请视同在开放日开放时间内的申购、赎回申请。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4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2024年04月11日-2025年04月10日）业绩比较基准为3.60%（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除固定管理费、托管费、估值费等相关税费后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2022年3月25日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2022年4月5日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47864.30</w:t>
      </w:r>
      <w:r>
        <w:rPr>
          <w:rFonts w:hint="eastAsia" w:ascii="仿宋" w:hAnsi="仿宋" w:eastAsia="仿宋" w:cs="仿宋"/>
          <w:color w:val="333333"/>
          <w:kern w:val="0"/>
          <w:sz w:val="24"/>
        </w:rPr>
        <w:t>份。</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4月10日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4月11日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1.04462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4.46</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104.80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1.04462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104.80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52126.20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4.25</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4月10日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4月11日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1.04062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1.04062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4.06</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1.04062=52031.00元。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p>
    <w:p/>
    <w:p/>
    <w:p/>
    <w:p/>
    <w:p/>
    <w:p/>
    <w:p/>
    <w:p/>
    <w:p/>
    <w:p/>
    <w:p/>
    <w:p/>
    <w:p/>
    <w:p/>
    <w:p/>
    <w:p/>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智盈半年定开2号</w:t>
      </w:r>
      <w:r>
        <w:rPr>
          <w:rFonts w:hint="eastAsia" w:ascii="黑体" w:hAnsi="黑体" w:eastAsia="黑体" w:cs="黑体"/>
          <w:bCs/>
          <w:kern w:val="0"/>
          <w:sz w:val="32"/>
          <w:szCs w:val="32"/>
        </w:rPr>
        <w:t>理财产品说明书</w:t>
      </w:r>
    </w:p>
    <w:p>
      <w:pPr>
        <w:spacing w:line="580" w:lineRule="exact"/>
        <w:jc w:val="center"/>
        <w:rPr>
          <w:rFonts w:hint="eastAsia"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240" w:lineRule="auto"/>
        <w:ind w:left="0" w:firstLine="0" w:firstLineChars="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u w:val="none"/>
        </w:rPr>
      </w:pPr>
      <w:r>
        <w:rPr>
          <w:rFonts w:hint="eastAsia" w:ascii="仿宋" w:hAnsi="仿宋" w:eastAsia="仿宋" w:cs="仿宋"/>
          <w:kern w:val="0"/>
          <w:sz w:val="24"/>
          <w:u w:val="none"/>
        </w:rPr>
        <w:t> </w:t>
      </w:r>
      <w:r>
        <w:rPr>
          <w:rFonts w:hint="eastAsia" w:ascii="仿宋" w:hAnsi="仿宋" w:eastAsia="仿宋" w:cs="仿宋"/>
          <w:b/>
          <w:bCs/>
          <w:kern w:val="0"/>
          <w:sz w:val="24"/>
          <w:u w:val="none"/>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u w:val="none"/>
        </w:rPr>
        <w:t xml:space="preserve">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u w:val="none"/>
        </w:rPr>
      </w:pPr>
      <w:r>
        <w:rPr>
          <w:rFonts w:hint="eastAsia" w:ascii="仿宋" w:hAnsi="仿宋" w:eastAsia="仿宋" w:cs="仿宋"/>
          <w:b/>
          <w:bCs/>
          <w:kern w:val="0"/>
          <w:sz w:val="24"/>
          <w:u w:val="none"/>
        </w:rPr>
        <w:t>7、本理财产品为非保本浮动收益型产品，您的本金可能会因市场变动而蒙受重大损失，您应充分认识投资风险，谨慎投资。</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u w:val="none"/>
        </w:rPr>
      </w:pPr>
      <w:r>
        <w:rPr>
          <w:rFonts w:hint="eastAsia" w:ascii="仿宋" w:hAnsi="仿宋" w:eastAsia="仿宋" w:cs="仿宋"/>
          <w:b/>
          <w:bCs/>
          <w:kern w:val="0"/>
          <w:sz w:val="24"/>
          <w:u w:val="none"/>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2"/>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1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智盈半年定开2号</w:t>
            </w:r>
            <w:r>
              <w:rPr>
                <w:rFonts w:hint="eastAsia" w:ascii="仿宋" w:hAnsi="仿宋" w:eastAsia="仿宋" w:cs="仿宋"/>
                <w:kern w:val="0"/>
                <w:sz w:val="24"/>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1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C1113222000005</w:t>
            </w:r>
            <w:r>
              <w:rPr>
                <w:rFonts w:hint="eastAsia" w:ascii="仿宋" w:hAnsi="仿宋" w:eastAsia="仿宋" w:cs="仿宋"/>
                <w:color w:val="333333"/>
                <w:kern w:val="0"/>
                <w:sz w:val="24"/>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13" w:type="dxa"/>
            <w:tcMar>
              <w:top w:w="45" w:type="dxa"/>
              <w:left w:w="45" w:type="dxa"/>
              <w:bottom w:w="45" w:type="dxa"/>
              <w:right w:w="4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2022年4月20日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2022年4月27日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2022年4月2</w:t>
            </w:r>
            <w:r>
              <w:rPr>
                <w:rFonts w:hint="eastAsia" w:ascii="仿宋" w:hAnsi="仿宋" w:eastAsia="仿宋" w:cs="仿宋"/>
                <w:kern w:val="0"/>
                <w:sz w:val="24"/>
                <w:lang w:val="en-US" w:eastAsia="zh-CN"/>
              </w:rPr>
              <w:t>8</w:t>
            </w:r>
            <w:r>
              <w:rPr>
                <w:rFonts w:hint="eastAsia" w:ascii="仿宋" w:hAnsi="仿宋" w:eastAsia="仿宋" w:cs="仿宋"/>
                <w:kern w:val="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6个月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成立后每年5月10日、11月10日为开放日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为申购及赎回期</w:t>
            </w:r>
            <w:r>
              <w:rPr>
                <w:rFonts w:hint="eastAsia" w:ascii="仿宋" w:hAnsi="仿宋" w:eastAsia="仿宋" w:cs="仿宋"/>
                <w:b/>
                <w:bCs/>
                <w:color w:val="333333"/>
                <w:kern w:val="0"/>
                <w:sz w:val="24"/>
                <w:highlight w:val="none"/>
              </w:rPr>
              <w:t>，可接受申购、赎回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kern w:val="0"/>
                <w:sz w:val="24"/>
                <w:lang w:val="en-US" w:eastAsia="zh-CN"/>
              </w:rPr>
            </w:pPr>
            <w:r>
              <w:rPr>
                <w:rFonts w:hint="eastAsia" w:ascii="仿宋" w:hAnsi="仿宋" w:eastAsia="仿宋" w:cs="仿宋"/>
                <w:b/>
                <w:bCs/>
                <w:color w:val="333333"/>
                <w:kern w:val="0"/>
                <w:sz w:val="24"/>
              </w:rPr>
              <w:t>申购</w:t>
            </w:r>
            <w:r>
              <w:rPr>
                <w:rFonts w:hint="eastAsia" w:ascii="仿宋" w:hAnsi="仿宋" w:eastAsia="仿宋" w:cs="仿宋"/>
                <w:b/>
                <w:bCs/>
                <w:color w:val="333333"/>
                <w:kern w:val="0"/>
                <w:sz w:val="24"/>
                <w:lang w:val="en-US" w:eastAsia="zh-CN"/>
              </w:rPr>
              <w:t>金额规定</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rPr>
              <w:t>赎回份额</w:t>
            </w:r>
            <w:r>
              <w:rPr>
                <w:rFonts w:hint="eastAsia" w:ascii="仿宋" w:hAnsi="仿宋" w:eastAsia="仿宋" w:cs="仿宋"/>
                <w:b/>
                <w:bCs/>
                <w:color w:val="333333"/>
                <w:kern w:val="0"/>
                <w:sz w:val="24"/>
                <w:lang w:val="en-US" w:eastAsia="zh-CN"/>
              </w:rPr>
              <w:t>规定</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w:t>
            </w:r>
            <w:r>
              <w:rPr>
                <w:rFonts w:hint="eastAsia" w:ascii="仿宋" w:hAnsi="仿宋" w:eastAsia="仿宋" w:cs="仿宋"/>
                <w:color w:val="333333"/>
                <w:kern w:val="0"/>
                <w:sz w:val="24"/>
              </w:rPr>
              <w:t>如</w:t>
            </w:r>
            <w:r>
              <w:rPr>
                <w:rFonts w:hint="eastAsia" w:ascii="仿宋" w:hAnsi="仿宋" w:eastAsia="仿宋" w:cs="仿宋"/>
                <w:color w:val="333333"/>
                <w:kern w:val="0"/>
                <w:sz w:val="24"/>
                <w:lang w:val="en-US" w:eastAsia="zh-CN"/>
              </w:rPr>
              <w:t>投资者</w:t>
            </w:r>
            <w:r>
              <w:rPr>
                <w:rFonts w:hint="eastAsia" w:ascii="仿宋" w:hAnsi="仿宋" w:eastAsia="仿宋" w:cs="仿宋"/>
                <w:color w:val="333333"/>
                <w:kern w:val="0"/>
                <w:sz w:val="24"/>
              </w:rPr>
              <w:t>申请部分赎回，</w:t>
            </w:r>
            <w:r>
              <w:rPr>
                <w:rFonts w:hint="eastAsia" w:ascii="仿宋" w:hAnsi="仿宋" w:eastAsia="仿宋" w:cs="仿宋"/>
                <w:color w:val="333333"/>
                <w:kern w:val="0"/>
                <w:sz w:val="24"/>
                <w:lang w:val="en-US" w:eastAsia="zh-CN"/>
              </w:rPr>
              <w:t>留存的产品</w:t>
            </w:r>
            <w:r>
              <w:rPr>
                <w:rFonts w:hint="eastAsia" w:ascii="仿宋" w:hAnsi="仿宋" w:eastAsia="仿宋" w:cs="仿宋"/>
                <w:color w:val="333333"/>
                <w:kern w:val="0"/>
                <w:sz w:val="24"/>
              </w:rPr>
              <w:t>份额低于</w:t>
            </w:r>
            <w:r>
              <w:rPr>
                <w:rFonts w:hint="eastAsia" w:ascii="仿宋" w:hAnsi="仿宋" w:eastAsia="仿宋" w:cs="仿宋"/>
                <w:color w:val="333333"/>
                <w:kern w:val="0"/>
                <w:sz w:val="24"/>
                <w:lang w:val="en-US" w:eastAsia="zh-CN"/>
              </w:rPr>
              <w:t>1000</w:t>
            </w:r>
            <w:r>
              <w:rPr>
                <w:rFonts w:hint="eastAsia" w:ascii="仿宋" w:hAnsi="仿宋" w:eastAsia="仿宋" w:cs="仿宋"/>
                <w:color w:val="333333"/>
                <w:kern w:val="0"/>
                <w:sz w:val="24"/>
                <w:highlight w:val="none"/>
              </w:rPr>
              <w:t>份</w:t>
            </w:r>
            <w:r>
              <w:rPr>
                <w:rFonts w:hint="eastAsia" w:ascii="仿宋" w:hAnsi="仿宋" w:eastAsia="仿宋" w:cs="仿宋"/>
                <w:color w:val="333333"/>
                <w:kern w:val="0"/>
                <w:sz w:val="24"/>
              </w:rPr>
              <w:t>时，应当全部赎回。长沙农商银行保留调整最低</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rPr>
              <w:t>份额</w:t>
            </w:r>
            <w:r>
              <w:rPr>
                <w:rFonts w:hint="eastAsia" w:ascii="仿宋" w:hAnsi="仿宋" w:eastAsia="仿宋" w:cs="仿宋"/>
                <w:color w:val="333333"/>
                <w:kern w:val="0"/>
                <w:sz w:val="24"/>
                <w:lang w:val="en-US" w:eastAsia="zh-CN"/>
              </w:rPr>
              <w:t>的</w:t>
            </w:r>
            <w:r>
              <w:rPr>
                <w:rFonts w:hint="eastAsia" w:ascii="仿宋" w:hAnsi="仿宋" w:eastAsia="仿宋" w:cs="仿宋"/>
                <w:color w:val="333333"/>
                <w:kern w:val="0"/>
                <w:sz w:val="24"/>
              </w:rPr>
              <w:t>权利，如后续对该最低赎回份额进行调整，长沙农商银行将在规定时间内于官网进行公告，并承诺该调整不会损害投资者利益。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5000万元，超过持有限额的认购、申购，长沙农商银行均不予确认。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除开放日、申购和赎回期时间外，本产品投资者没有提前赎回权。</w:t>
            </w:r>
            <w:r>
              <w:rPr>
                <w:rFonts w:hint="eastAsia" w:ascii="仿宋" w:hAnsi="仿宋" w:eastAsia="仿宋" w:cs="仿宋"/>
                <w:b/>
                <w:bCs/>
                <w:color w:val="333333"/>
                <w:kern w:val="0"/>
                <w:sz w:val="24"/>
              </w:rPr>
              <w:t>（详见第三条第（六）款）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68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1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现金类资产0-5%，金融债和信用债0-95%，杠杆率0%为例，综合已知的市场利率水平测算出本产品投资周期(2024年05月11日-2024年11月11日）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3.40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color w:val="333333"/>
                <w:kern w:val="0"/>
                <w:sz w:val="24"/>
                <w:lang w:eastAsia="zh-CN"/>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1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1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1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扣除销售服务费、赎回费、固定管理费、托管费、估值费等税费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1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68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13" w:type="dxa"/>
            <w:tcMar>
              <w:top w:w="45" w:type="dxa"/>
              <w:left w:w="45" w:type="dxa"/>
              <w:bottom w:w="45" w:type="dxa"/>
              <w:right w:w="45"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2022年4月20日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2022年4月27日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（工作日）进行申购确认，同时，银行于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公布的</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产品净值为</w:t>
      </w:r>
      <w:r>
        <w:rPr>
          <w:rFonts w:hint="eastAsia" w:ascii="仿宋" w:hAnsi="仿宋" w:eastAsia="仿宋" w:cs="仿宋"/>
          <w:color w:val="333333"/>
          <w:kern w:val="0"/>
          <w:sz w:val="24"/>
          <w:lang w:val="en-US" w:eastAsia="zh-CN"/>
        </w:rPr>
        <w:t>1.02168</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1.02168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48939.00</w:t>
      </w:r>
      <w:r>
        <w:rPr>
          <w:rFonts w:hint="eastAsia" w:ascii="仿宋" w:hAnsi="仿宋" w:eastAsia="仿宋" w:cs="仿宋"/>
          <w:color w:val="333333"/>
          <w:kern w:val="0"/>
          <w:sz w:val="24"/>
        </w:rPr>
        <w:t>份。</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实际投资周期为180天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1.02152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4.37</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3.80%</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3.80%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112.41</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1.02152</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112.41</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50965.09</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3.91</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11月10日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实际投资周期为180天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11月11日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1.01752</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1.01752</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180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3.55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1.01752=50876.00元。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ZGY5MjVjMmZkNjhmNjFmZDNlZTcxMGM0YzJmNTIifQ=="/>
  </w:docVars>
  <w:rsids>
    <w:rsidRoot w:val="00424276"/>
    <w:rsid w:val="000D3914"/>
    <w:rsid w:val="00424276"/>
    <w:rsid w:val="008C1FC7"/>
    <w:rsid w:val="00BE2066"/>
    <w:rsid w:val="00EA7B25"/>
    <w:rsid w:val="015B7B55"/>
    <w:rsid w:val="0292700F"/>
    <w:rsid w:val="0440153B"/>
    <w:rsid w:val="04F05D3E"/>
    <w:rsid w:val="086A3AC9"/>
    <w:rsid w:val="09004CD5"/>
    <w:rsid w:val="0A6F7BB8"/>
    <w:rsid w:val="0A96167B"/>
    <w:rsid w:val="0C4F479F"/>
    <w:rsid w:val="0D7D4A5C"/>
    <w:rsid w:val="0F057D56"/>
    <w:rsid w:val="0F4F4D39"/>
    <w:rsid w:val="104A6EE7"/>
    <w:rsid w:val="11037796"/>
    <w:rsid w:val="176F73DA"/>
    <w:rsid w:val="18FC2D7C"/>
    <w:rsid w:val="192B0FCA"/>
    <w:rsid w:val="195464B6"/>
    <w:rsid w:val="1A750851"/>
    <w:rsid w:val="1B0E09BF"/>
    <w:rsid w:val="1BEE7B59"/>
    <w:rsid w:val="1D440738"/>
    <w:rsid w:val="1D681BC5"/>
    <w:rsid w:val="1E725242"/>
    <w:rsid w:val="23867AB6"/>
    <w:rsid w:val="2A3976ED"/>
    <w:rsid w:val="2B474FA2"/>
    <w:rsid w:val="2BAA4827"/>
    <w:rsid w:val="2D2C5140"/>
    <w:rsid w:val="30E63EA6"/>
    <w:rsid w:val="36AE0F18"/>
    <w:rsid w:val="3B8555A0"/>
    <w:rsid w:val="3C4D6A32"/>
    <w:rsid w:val="3FA56505"/>
    <w:rsid w:val="427927CC"/>
    <w:rsid w:val="43366578"/>
    <w:rsid w:val="44916755"/>
    <w:rsid w:val="49830D28"/>
    <w:rsid w:val="49EE267F"/>
    <w:rsid w:val="4DE421FA"/>
    <w:rsid w:val="5C8B5356"/>
    <w:rsid w:val="5CE61FE8"/>
    <w:rsid w:val="5D71416C"/>
    <w:rsid w:val="5F0E2B4B"/>
    <w:rsid w:val="5F242B53"/>
    <w:rsid w:val="5F45454F"/>
    <w:rsid w:val="61E46281"/>
    <w:rsid w:val="65F11116"/>
    <w:rsid w:val="667B1020"/>
    <w:rsid w:val="66925881"/>
    <w:rsid w:val="6B7C1256"/>
    <w:rsid w:val="701C385A"/>
    <w:rsid w:val="72293860"/>
    <w:rsid w:val="729C4863"/>
    <w:rsid w:val="75F46E8C"/>
    <w:rsid w:val="76D53A6D"/>
    <w:rsid w:val="7C9663A9"/>
    <w:rsid w:val="7DBF4C29"/>
    <w:rsid w:val="7DE23600"/>
    <w:rsid w:val="7EF4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Words>
  <Characters>309</Characters>
  <Lines>2</Lines>
  <Paragraphs>1</Paragraphs>
  <TotalTime>2</TotalTime>
  <ScaleCrop>false</ScaleCrop>
  <LinksUpToDate>false</LinksUpToDate>
  <CharactersWithSpaces>362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TangPan</cp:lastModifiedBy>
  <dcterms:modified xsi:type="dcterms:W3CDTF">2024-03-04T12:17:37Z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D978B6C22EFA4055A9D52B3E5F32552F</vt:lpwstr>
  </property>
</Properties>
</file>